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23a911d1db81cc05ea965f6433b2628b7ed5a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77. Требование о проведении капитального ремонта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Протечки кровли и аварийное состояние стояка препятствуют нормальному использованию помещения. Арендатор дважды уведомлял арендодателя и предлагает срок 20 рабочих дней, сохраняя право на уменьшение платы и возмещение необходимых расходов.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a6075092c4d16a94cb561216158000f596ca3f6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ПРОВЕДЕНИИ КАПИТАЛЬНОГО РЕМОНТА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Протечки кровли и аварийное состояние стояка препятствуют нормальному использованию помещения. Арендатор дважды уведомлял арендодателя и предлагает срок 20 рабочих дней, сохраняя право на уменьшение платы и возмещение необходимых расходов.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611, 612 и 616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Выполнить перечисленные работы капитального ремонта в срок [срок].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Сообщить график работ и меры по обеспечению безопасного использования помещения.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