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5a810c0eb271c865b4fd8a1318579f5b4910dd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52. Заявление о погашении регистрационной записи об ипотеке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8f7640d87a78b28a0104c637ac861e03c418af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ПОГАШЕНИИ РЕГИСТРАЦИОННОЙ ЗАПИСИ ОБ ИПОТЕКЕ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Погасить регистрационную запись об ипотеке в связи с полным исполнением обеспеченного обязательства.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актуальную выписку ЕГРН без указанного обременения.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