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f14bb20478dd5dd785d9d9bacffd70577d3dda6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3. Отчёт о юридической проверке продавца недвижимости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до сделки или до выбора способа защиты для системной оценки документов, юридических фактов и рисков. Заключение не заменяет выписку ЕГРН, техническое обследование или оценку, а объединяет результаты проверок и формулирует условия безопасного поведения.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Иванов Алексей Сергеевич; продавец - Петрова Марина Викторовна.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квартира площадью 56,4 кв. м по адресу: Московская область, г. Балашиха, ул. Реутовская, д. 18, кв. 47, кадастровый номер 50:15:0010902:1847.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По продавцу проверяются паспорт, семейное положение, исполнительные производства, судебные споры, сведения о банкротстве, участие в юридических лицах и признаки финансовой нестабильности. Отдельно сопоставляются цена сделки, рыночная стоимость и наличие близких по времени отчуждений имущества.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заключения: [ФИО / наименование]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Объект проверки: [описание объекта]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Дата подготовки: [дата]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Исполнитель: [юрист / юридическая фирма]</w:t>
      </w:r>
    </w:p>
    <w:bookmarkEnd w:id="22"/>
    <w:bookmarkStart w:id="29" w:name="X927037b3fccd04529dfc246b095e16c9672ddcd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ОТЧЁТ О ЮРИДИЧЕСКОЙ ПРОВЕРКЕ ПРОДАВЦА НЕДВИЖИМОСТИ</w:t>
      </w:r>
    </w:p>
    <w:bookmarkStart w:id="23" w:name="задание-и-пределы-проверк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Задание и пределы проверки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Заказчик просит оценить юридическую допустимость действий в отношении объекта: квартира площадью 56,4 кв. м по адресу: Московская область, г. Балашиха, ул. Реутовская, д. 18, кв. 47, кадастровый номер 50:15:0010902:1847. Проверка проводится по представленным документам и доступным официальным источникам на дату подготовки заключения. Техническое состояние, рыночная стоимость и скрытые инженерные дефекты оцениваются профильными специалистами и не подменяются юридическим анализом.</w:t>
      </w:r>
    </w:p>
    <w:bookmarkEnd w:id="23"/>
    <w:bookmarkStart w:id="24" w:name="исследованные-документы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Исследованные документы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и исторические выписки ЕГРН.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Документ-основание возникновения права и последующие соглашения.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Паспорт, доверенность и документы о семейном положении правообладателя.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Технический план, поэтажный план, экспликация, межевой план и ГПЗУ - по виду объекта.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Договоры аренды, ипотеки, сервитута и иные документы об обременениях.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Переписка сторон, документы о расчетах и фактическом владении.</w:t>
      </w:r>
    </w:p>
    <w:bookmarkEnd w:id="24"/>
    <w:bookmarkStart w:id="25" w:name="установленные-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Установленные 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По продавцу проверяются паспорт, семейное положение, исполнительные производства, судебные споры, сведения о банкротстве, участие в юридических лицах и признаки финансовой нестабильности. Отдельно сопоставляются цена сделки, рыночная стоимость и наличие близких по времени отчуждений имущества.</w:t>
      </w:r>
    </w:p>
    <w:bookmarkEnd w:id="25"/>
    <w:bookmarkStart w:id="26" w:name="правовой-анализ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Правовой анализ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Право на недвижимость и ограничения права оцениваются по сведениям ЕГРН в совокупности с документами-основаниями. Выписка не устраняет необходимость проверки правоспособности сторон, обязательной нотариальной формы, согласий, прав пользования и риска оспаривания сделки.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Проверяется непрерывность переходов права, совпадение характеристик объекта, отсутствие противоречий между договором, технической документацией и ЕГРН. Отдельно анализируются сделки между взаимозависимыми лицами, отчуждение по цене, существенно отличающейся от рыночной, и финансовое положение продавца.</w:t>
      </w:r>
    </w:p>
    <w:bookmarkEnd w:id="26"/>
    <w:bookmarkStart w:id="27" w:name="матрица-рисков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Матрица рисков</w:t>
      </w:r>
    </w:p>
    <w:tbl>
      <w:tblPr>
        <w:tblW w:type="pct" w:w="5000"/>
        <w:jc w:val="left"/>
        <w:tblLayout w:type="autofit"/>
        <w:tblLook w:firstRow="1" w:lastRow="0" w:firstColumn="0" w:lastColumn="0" w:noHBand="0" w:noVBand="0" w:val="0020"/>
      </w:tblPr>
      <w:tblGrid>
        <w:gridCol w:w="1697"/>
        <w:gridCol w:w="2262"/>
        <w:gridCol w:w="2262"/>
        <w:gridCol w:w="1697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Риск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Вероятность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b/>
                <w:sz w:val="19"/>
              </w:rPr>
              <w:t xml:space="preserve">Последствия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Мера контроля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Неполнота титульных документов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Отказ в регистрации или спор о праве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Получить регистрационное дело и оригиналы оснований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Права супруга или пользователя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 или сохранение права проживания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Нотариальное согласие, выписки, заверения и удержание цены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Банкротный риск продавца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Оспаривание сделки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Рыночная цена, прозрачный расчет, проверка долгов и экономической цели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несоответствие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Приостановка регистрации, расходы на приведение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Техническое обследование, условие об устранении до сделки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Необъявленное обременение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Низкая / средняя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right"/>
            </w:pPr>
            <w:r>
              <w:rPr>
                <w:rFonts w:ascii="Times New Roman" w:hAnsi="Times New Roman"/>
                <w:sz w:val="19"/>
              </w:rPr>
              <w:t xml:space="preserve">Ограничение использования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Повторная выписка ЕГРН в день сделки, безопасный расчет</w:t>
            </w:r>
          </w:p>
        </w:tc>
      </w:tr>
    </w:tbl>
    <w:bookmarkEnd w:id="27"/>
    <w:bookmarkStart w:id="28" w:name="вывод-и-рекомендаци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6. Вывод и рекомендации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Допустить сделку только после выполнения перечисленных обязательных условий контроля.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Повторно получить выписку ЕГРН и проверить продавца непосредственно в день подписания и раскрытия аккредитива.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Включить в договор заверения, удержания и последствия выявления скрытого обременения или права третьего лица.</w:t>
      </w:r>
    </w:p>
    <w:bookmarkEnd w:id="28"/>
    <w:bookmarkEnd w:id="29"/>
    <w:bookmarkStart w:id="30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0"/>
    <w:bookmarkStart w:id="31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исторические выписки ЕГРН и копии документов регистрационного дела.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 семейном положении и необходимых согласиях.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сведения о судебных спорах, исполнительных производствах и банкротстве.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техническая документация на объект.</w:t>
      </w:r>
    </w:p>
    <w:bookmarkEnd w:id="31"/>
    <w:bookmarkStart w:id="32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2"/>
    <w:bookmarkStart w:id="33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Заключение устаревает после появления новых записей ЕГРН, судебных актов или обстоятельств продавца, поэтому ключевые проверки повторяются непосредственно перед сделкой.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Отсутствие сведений в открытом источнике не доказывает отсутствие риска; значимые обстоятельства подтверждаются оригиналами и официальными ответами.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Риск нельзя объявлять низким без объяснения вероятности, возможных последствий и меры контроля.</w:t>
      </w:r>
    </w:p>
    <w:bookmarkEnd w:id="33"/>
    <w:bookmarkStart w:id="34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4"/>
    <w:bookmarkEnd w:id="35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2026-07-18T09:19:53Z</dcterms:created>
  <dcterms:modified xsi:type="dcterms:W3CDTF">2026-07-18T09:19:53Z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