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comments.xml" ContentType="application/vnd.openxmlformats-officedocument.wordprocessingml.comment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Relationship Id="rId3" Type="http://schemas.openxmlformats.org/package/2006/relationships/metadata/core-properties" Target="docProps/core.xml"/><Relationship Id="rId5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38" w:name="X3201af1e66ed6f9770f061713e0b8695cab5d08"/>
    <w:p>
      <w:pPr>
        <w:pStyle w:val="Heading1"/>
        <w:keepNext/>
      </w:pPr>
      <w:r>
        <w:rPr>
          <w:rFonts w:ascii="Times New Roman" w:hAnsi="Times New Roman" w:eastAsia="Times New Roman"/>
        </w:rPr>
        <w:t xml:space="preserve">22. Договор купли-продажи объекта незавершённого строительства</w:t>
      </w:r>
    </w:p>
    <w:p>
      <w:pPr>
        <w:pStyle w:val="FirstParagraph"/>
      </w:pPr>
      <w:r>
        <w:rPr>
          <w:rFonts w:ascii="Times New Roman" w:hAnsi="Times New Roman" w:eastAsia="Times New Roman"/>
          <w:b/>
          <w:bCs/>
        </w:rPr>
        <w:t xml:space="preserve">Юридическая фирма «Зотова и партнеры»</w:t>
      </w:r>
      <w:r>
        <w:rPr>
          <w:rFonts w:ascii="Times New Roman" w:hAnsi="Times New Roman" w:eastAsia="Times New Roman"/>
        </w:rPr>
        <w:t xml:space="preserve"> </w:t>
      </w:r>
      <w:r>
        <w:rPr>
          <w:rFonts w:ascii="Times New Roman" w:hAnsi="Times New Roman" w:eastAsia="Times New Roman"/>
        </w:rPr>
        <w:t xml:space="preserve">zotowa.ru | образец документа | редакция 18.07.2026</w:t>
      </w:r>
    </w:p>
    <w:p>
      <w:pPr>
        <w:pStyle w:val="BlockText"/>
      </w:pPr>
      <w:r>
        <w:rPr>
          <w:rFonts w:ascii="Times New Roman" w:hAnsi="Times New Roman" w:eastAsia="Times New Roman"/>
        </w:rPr>
        <w:t xml:space="preserve">Важно: это модельный образец с вымышленными обстоятельствами. Перед использованием необходимо заменить сведения о сторонах и объекте, проверить подсудность, сроки, обязательную форму, государственную пошлину и актуальную редакцию законодательства.</w:t>
      </w:r>
    </w:p>
    <w:bookmarkStart w:id="20" w:name="когда-применяется"/>
    <w:p>
      <w:pPr>
        <w:pStyle w:val="Heading2"/>
        <w:keepNext/>
      </w:pPr>
      <w:r>
        <w:rPr>
          <w:rFonts w:ascii="Times New Roman" w:hAnsi="Times New Roman" w:eastAsia="Times New Roman"/>
        </w:rPr>
        <w:t xml:space="preserve">Когда применяется</w:t>
      </w:r>
    </w:p>
    <w:p>
      <w:pPr>
        <w:pStyle w:val="FirstParagraph"/>
      </w:pPr>
      <w:r>
        <w:rPr>
          <w:rFonts w:ascii="Times New Roman" w:hAnsi="Times New Roman" w:eastAsia="Times New Roman"/>
        </w:rPr>
        <w:t xml:space="preserve">Используется для фиксации согласованных условий сделки. Перед подписанием необходимо проверить личность и полномочия сторон, описание объекта, режим собственности, обязательность нотариальной формы, государственную регистрацию, порядок расчетов и налоговые последствия.</w:t>
      </w:r>
    </w:p>
    <w:bookmarkEnd w:id="20"/>
    <w:bookmarkStart w:id="21" w:name="модельная-ситуация"/>
    <w:p>
      <w:pPr>
        <w:pStyle w:val="Heading2"/>
        <w:keepNext/>
      </w:pPr>
      <w:r>
        <w:rPr>
          <w:rFonts w:ascii="Times New Roman" w:hAnsi="Times New Roman" w:eastAsia="Times New Roman"/>
        </w:rPr>
        <w:t xml:space="preserve">Модельная ситуация</w:t>
      </w:r>
    </w:p>
    <w:p>
      <w:pPr>
        <w:pStyle w:val="FirstParagraph"/>
      </w:pPr>
      <w:r>
        <w:rPr>
          <w:rFonts w:ascii="Times New Roman" w:hAnsi="Times New Roman" w:eastAsia="Times New Roman"/>
          <w:b/>
          <w:bCs/>
        </w:rPr>
        <w:t xml:space="preserve">Участники:</w:t>
      </w:r>
      <w:r>
        <w:rPr>
          <w:rFonts w:ascii="Times New Roman" w:hAnsi="Times New Roman" w:eastAsia="Times New Roman"/>
        </w:rPr>
        <w:t xml:space="preserve"> </w:t>
      </w:r>
      <w:r>
        <w:rPr>
          <w:rFonts w:ascii="Times New Roman" w:hAnsi="Times New Roman" w:eastAsia="Times New Roman"/>
        </w:rPr>
        <w:t xml:space="preserve">Продавец - Петрова Марина Викторовна; покупатель - Иванов Алексей Сергеевич.</w:t>
      </w:r>
      <w:r>
        <w:rPr>
          <w:rFonts w:ascii="Times New Roman" w:hAnsi="Times New Roman" w:eastAsia="Times New Roman"/>
        </w:rPr>
        <w:t xml:space="preserve"> </w:t>
      </w:r>
      <w:r>
        <w:rPr>
          <w:rFonts w:ascii="Times New Roman" w:hAnsi="Times New Roman" w:eastAsia="Times New Roman"/>
          <w:b/>
          <w:bCs/>
        </w:rPr>
        <w:t xml:space="preserve">Объект:</w:t>
      </w:r>
      <w:r>
        <w:rPr>
          <w:rFonts w:ascii="Times New Roman" w:hAnsi="Times New Roman" w:eastAsia="Times New Roman"/>
        </w:rPr>
        <w:t xml:space="preserve"> </w:t>
      </w:r>
      <w:r>
        <w:rPr>
          <w:rFonts w:ascii="Times New Roman" w:hAnsi="Times New Roman" w:eastAsia="Times New Roman"/>
        </w:rPr>
        <w:t xml:space="preserve">объект незавершенного строительства, степень готовности 62 процентов, кадастровый номер 50:20:0040701:1120.</w:t>
      </w:r>
    </w:p>
    <w:p>
      <w:pPr>
        <w:pStyle w:val="BodyText"/>
      </w:pPr>
      <w:r>
        <w:rPr>
          <w:rFonts w:ascii="Times New Roman" w:hAnsi="Times New Roman" w:eastAsia="Times New Roman"/>
        </w:rPr>
        <w:t xml:space="preserve">Стороны согласовали цену 10 800 000 руб. Покупатель вносит 300 000 руб. при подписании обеспечительного соглашения, а оставшуюся сумму размещает на безотзывном покрытом аккредитиве. Передача квартиры должна состояться не позднее трех календарных дней после регистрации перехода права. Продавец обязуется снять с регистрационного учета всех проживающих, погасить коммунальную задолженность и передать ключи, документы и показания приборов учета.</w:t>
      </w:r>
    </w:p>
    <w:bookmarkEnd w:id="21"/>
    <w:bookmarkStart w:id="22" w:name="текст-документа"/>
    <w:p>
      <w:pPr>
        <w:pStyle w:val="Heading2"/>
        <w:keepNext/>
      </w:pPr>
      <w:r>
        <w:rPr>
          <w:rFonts w:ascii="Times New Roman" w:hAnsi="Times New Roman" w:eastAsia="Times New Roman"/>
        </w:rPr>
        <w:t xml:space="preserve">Текст документа</w:t>
      </w:r>
    </w:p>
    <w:p>
      <w:pPr>
        <w:pStyle w:val="FirstParagraph"/>
      </w:pPr>
      <w:r>
        <w:rPr>
          <w:rFonts w:ascii="Times New Roman" w:hAnsi="Times New Roman" w:eastAsia="Times New Roman"/>
        </w:rPr>
        <w:t xml:space="preserve">г. Москва</w:t>
      </w:r>
      <w:r>
        <w:rPr>
          <w:rFonts w:ascii="Times New Roman" w:hAnsi="Times New Roman" w:eastAsia="Times New Roman"/>
        </w:rPr>
        <w:t xml:space="preserve"> </w:t>
      </w:r>
      <w:r>
        <w:rPr>
          <w:rFonts w:ascii="Times New Roman" w:hAnsi="Times New Roman" w:eastAsia="Times New Roman"/>
        </w:rPr>
        <w:t xml:space="preserve">«[число]» [месяц] 2026 года</w:t>
      </w:r>
    </w:p>
    <w:p>
      <w:pPr>
        <w:pStyle w:val="BodyText"/>
      </w:pPr>
      <w:r>
        <w:rPr>
          <w:rFonts w:ascii="Times New Roman" w:hAnsi="Times New Roman" w:eastAsia="Times New Roman"/>
        </w:rPr>
        <w:t xml:space="preserve">[Сторона 1], именуемая в дальнейшем «Сторона 1», и [Сторона 2], именуемая в дальнейшем «Сторона 2», совместно именуемые «Стороны», заключили настоящий документ о нижеследующем.</w:t>
      </w:r>
    </w:p>
    <w:bookmarkEnd w:id="22"/>
    <w:bookmarkStart w:id="32" w:name="X930db6c8b5e3db6974678624a6578e8f9b392a9"/>
    <w:p>
      <w:pPr>
        <w:pStyle w:val="Heading2"/>
        <w:keepNext/>
      </w:pPr>
      <w:r>
        <w:rPr>
          <w:rFonts w:ascii="Times New Roman" w:hAnsi="Times New Roman" w:eastAsia="Times New Roman"/>
        </w:rPr>
        <w:t xml:space="preserve">ДОГОВОР КУПЛИ-ПРОДАЖИ ОБЪЕКТА НЕЗАВЕРШЁННОГО СТРОИТЕЛЬСТВА</w:t>
      </w:r>
    </w:p>
    <w:bookmarkStart w:id="23" w:name="предмет"/>
    <w:p>
      <w:pPr>
        <w:pStyle w:val="Heading3"/>
        <w:keepNext/>
      </w:pPr>
      <w:r>
        <w:rPr>
          <w:rFonts w:ascii="Times New Roman" w:hAnsi="Times New Roman" w:eastAsia="Times New Roman"/>
        </w:rPr>
        <w:t xml:space="preserve">1. Предмет</w:t>
      </w:r>
    </w:p>
    <w:p>
      <w:pPr>
        <w:pStyle w:val="FirstParagraph"/>
      </w:pPr>
      <w:r>
        <w:rPr>
          <w:rFonts w:ascii="Times New Roman" w:hAnsi="Times New Roman" w:eastAsia="Times New Roman"/>
        </w:rPr>
        <w:t xml:space="preserve">1.1. Стороны согласовали права и обязанности в отношении объекта: объект незавершенного строительства, степень готовности 62 процентов, кадастровый номер 50:20:0040701:1120.</w:t>
      </w:r>
      <w:r>
        <w:rPr>
          <w:rFonts w:ascii="Times New Roman" w:hAnsi="Times New Roman" w:eastAsia="Times New Roman"/>
        </w:rPr>
        <w:t xml:space="preserve"> </w:t>
      </w:r>
      <w:r>
        <w:rPr>
          <w:rFonts w:ascii="Times New Roman" w:hAnsi="Times New Roman" w:eastAsia="Times New Roman"/>
        </w:rPr>
        <w:t xml:space="preserve">1.2. Характеристики объекта должны дословно соответствовать сведениям ЕГРН и технической документации. При расхождении подписание и регистрация откладываются до устранения противоречия.</w:t>
      </w:r>
    </w:p>
    <w:bookmarkEnd w:id="23"/>
    <w:bookmarkStart w:id="24" w:name="правовой-статус-и-заверения"/>
    <w:p>
      <w:pPr>
        <w:pStyle w:val="Heading3"/>
        <w:keepNext/>
      </w:pPr>
      <w:r>
        <w:rPr>
          <w:rFonts w:ascii="Times New Roman" w:hAnsi="Times New Roman" w:eastAsia="Times New Roman"/>
        </w:rPr>
        <w:t xml:space="preserve">2. Правовой статус и заверения</w:t>
      </w:r>
    </w:p>
    <w:p>
      <w:pPr>
        <w:pStyle w:val="FirstParagraph"/>
      </w:pPr>
      <w:r>
        <w:rPr>
          <w:rFonts w:ascii="Times New Roman" w:hAnsi="Times New Roman" w:eastAsia="Times New Roman"/>
        </w:rPr>
        <w:t xml:space="preserve">2.1. Продавец подтверждает право, отсутствие незаявленных арестов, залогов, аренды, споров, прав пользования и задолженности.</w:t>
      </w:r>
      <w:r>
        <w:rPr>
          <w:rFonts w:ascii="Times New Roman" w:hAnsi="Times New Roman" w:eastAsia="Times New Roman"/>
        </w:rPr>
        <w:t xml:space="preserve"> </w:t>
      </w:r>
      <w:r>
        <w:rPr>
          <w:rFonts w:ascii="Times New Roman" w:hAnsi="Times New Roman" w:eastAsia="Times New Roman"/>
        </w:rPr>
        <w:t xml:space="preserve">2.2. Раскрываются семейное положение, несовершеннолетние, зарегистрированные лица и обстоятельства приобретения. Недостоверность заверений влечет конкретные последствия.</w:t>
      </w:r>
    </w:p>
    <w:bookmarkEnd w:id="24"/>
    <w:bookmarkStart w:id="25" w:name="цена-и-расчеты"/>
    <w:p>
      <w:pPr>
        <w:pStyle w:val="Heading3"/>
        <w:keepNext/>
      </w:pPr>
      <w:r>
        <w:rPr>
          <w:rFonts w:ascii="Times New Roman" w:hAnsi="Times New Roman" w:eastAsia="Times New Roman"/>
        </w:rPr>
        <w:t xml:space="preserve">3. Цена и расчеты</w:t>
      </w:r>
    </w:p>
    <w:p>
      <w:pPr>
        <w:pStyle w:val="FirstParagraph"/>
      </w:pPr>
      <w:r>
        <w:rPr>
          <w:rFonts w:ascii="Times New Roman" w:hAnsi="Times New Roman" w:eastAsia="Times New Roman"/>
        </w:rPr>
        <w:t xml:space="preserve">3.1. Цена - [сумма] руб.</w:t>
      </w:r>
      <w:r>
        <w:rPr>
          <w:rFonts w:ascii="Times New Roman" w:hAnsi="Times New Roman" w:eastAsia="Times New Roman"/>
        </w:rPr>
        <w:t xml:space="preserve"> </w:t>
      </w:r>
      <w:r>
        <w:rPr>
          <w:rFonts w:ascii="Times New Roman" w:hAnsi="Times New Roman" w:eastAsia="Times New Roman"/>
        </w:rPr>
        <w:t xml:space="preserve">3.2. Расчет производится через [аккредитив / депозит нотариуса]. Условие раскрытия - регистрация права покупателя и отсутствие незаявленных обременений.</w:t>
      </w:r>
    </w:p>
    <w:bookmarkEnd w:id="25"/>
    <w:bookmarkStart w:id="26" w:name="передача"/>
    <w:p>
      <w:pPr>
        <w:pStyle w:val="Heading3"/>
        <w:keepNext/>
      </w:pPr>
      <w:r>
        <w:rPr>
          <w:rFonts w:ascii="Times New Roman" w:hAnsi="Times New Roman" w:eastAsia="Times New Roman"/>
        </w:rPr>
        <w:t xml:space="preserve">4. Передача</w:t>
      </w:r>
    </w:p>
    <w:p>
      <w:pPr>
        <w:pStyle w:val="FirstParagraph"/>
      </w:pPr>
      <w:r>
        <w:rPr>
          <w:rFonts w:ascii="Times New Roman" w:hAnsi="Times New Roman" w:eastAsia="Times New Roman"/>
        </w:rPr>
        <w:t xml:space="preserve">4.1. Передача осуществляется по акту в срок [срок]. До передачи продавец сохраняет объект, оплачивает начисления и не допускает ухудшения.</w:t>
      </w:r>
      <w:r>
        <w:rPr>
          <w:rFonts w:ascii="Times New Roman" w:hAnsi="Times New Roman" w:eastAsia="Times New Roman"/>
        </w:rPr>
        <w:t xml:space="preserve"> </w:t>
      </w:r>
      <w:r>
        <w:rPr>
          <w:rFonts w:ascii="Times New Roman" w:hAnsi="Times New Roman" w:eastAsia="Times New Roman"/>
        </w:rPr>
        <w:t xml:space="preserve">4.2. В акте отражаются ключи, счетчики, документы, имущество и недостатки.</w:t>
      </w:r>
    </w:p>
    <w:bookmarkEnd w:id="26"/>
    <w:bookmarkStart w:id="27" w:name="регистрация"/>
    <w:p>
      <w:pPr>
        <w:pStyle w:val="Heading3"/>
        <w:keepNext/>
      </w:pPr>
      <w:r>
        <w:rPr>
          <w:rFonts w:ascii="Times New Roman" w:hAnsi="Times New Roman" w:eastAsia="Times New Roman"/>
        </w:rPr>
        <w:t xml:space="preserve">5. Регистрация</w:t>
      </w:r>
    </w:p>
    <w:p>
      <w:pPr>
        <w:pStyle w:val="FirstParagraph"/>
      </w:pPr>
      <w:r>
        <w:rPr>
          <w:rFonts w:ascii="Times New Roman" w:hAnsi="Times New Roman" w:eastAsia="Times New Roman"/>
        </w:rPr>
        <w:t xml:space="preserve">5.1. Стороны совместно подают документы. При приостановлении они без промедления устраняют законные причины, не меняя экономический смысл сделки.</w:t>
      </w:r>
    </w:p>
    <w:bookmarkEnd w:id="27"/>
    <w:bookmarkStart w:id="28" w:name="ответственность-и-прекращение"/>
    <w:p>
      <w:pPr>
        <w:pStyle w:val="Heading3"/>
        <w:keepNext/>
      </w:pPr>
      <w:r>
        <w:rPr>
          <w:rFonts w:ascii="Times New Roman" w:hAnsi="Times New Roman" w:eastAsia="Times New Roman"/>
        </w:rPr>
        <w:t xml:space="preserve">6. Ответственность и прекращение</w:t>
      </w:r>
    </w:p>
    <w:p>
      <w:pPr>
        <w:pStyle w:val="FirstParagraph"/>
      </w:pPr>
      <w:r>
        <w:rPr>
          <w:rFonts w:ascii="Times New Roman" w:hAnsi="Times New Roman" w:eastAsia="Times New Roman"/>
        </w:rPr>
        <w:t xml:space="preserve">6.1. Уклонение от регистрации, передачи или оплаты дает право требовать исполнения, расторжения, убытков и согласованной неустойки.</w:t>
      </w:r>
      <w:r>
        <w:rPr>
          <w:rFonts w:ascii="Times New Roman" w:hAnsi="Times New Roman" w:eastAsia="Times New Roman"/>
        </w:rPr>
        <w:t xml:space="preserve"> </w:t>
      </w:r>
      <w:r>
        <w:rPr>
          <w:rFonts w:ascii="Times New Roman" w:hAnsi="Times New Roman" w:eastAsia="Times New Roman"/>
        </w:rPr>
        <w:t xml:space="preserve">6.2. Для рассрочки отдельно определяется залог продавца в силу закона или отказ от него, если это допустимо.</w:t>
      </w:r>
    </w:p>
    <w:bookmarkEnd w:id="28"/>
    <w:bookmarkStart w:id="29" w:name="документы-и-заявления-сторон"/>
    <w:p>
      <w:pPr>
        <w:pStyle w:val="Heading3"/>
        <w:keepNext/>
      </w:pPr>
      <w:r>
        <w:rPr>
          <w:rFonts w:ascii="Times New Roman" w:hAnsi="Times New Roman" w:eastAsia="Times New Roman"/>
        </w:rPr>
        <w:t xml:space="preserve">7. Документы и заявления сторон</w:t>
      </w:r>
    </w:p>
    <w:p>
      <w:pPr>
        <w:pStyle w:val="FirstParagraph"/>
      </w:pPr>
      <w:r>
        <w:rPr>
          <w:rFonts w:ascii="Times New Roman" w:hAnsi="Times New Roman" w:eastAsia="Times New Roman"/>
        </w:rPr>
        <w:t xml:space="preserve">7.1. Каждая сторона до подписания передает документы, подтверждающие личность, полномочия, право и необходимые согласия. Копии сверяются с оригиналами.</w:t>
      </w:r>
      <w:r>
        <w:rPr>
          <w:rFonts w:ascii="Times New Roman" w:hAnsi="Times New Roman" w:eastAsia="Times New Roman"/>
        </w:rPr>
        <w:t xml:space="preserve"> </w:t>
      </w:r>
      <w:r>
        <w:rPr>
          <w:rFonts w:ascii="Times New Roman" w:hAnsi="Times New Roman" w:eastAsia="Times New Roman"/>
        </w:rPr>
        <w:t xml:space="preserve">7.2. Стороны подтверждают отсутствие скрытых соглашений, влияющих на цену, пользование или обременение объекта.</w:t>
      </w:r>
      <w:r>
        <w:rPr>
          <w:rFonts w:ascii="Times New Roman" w:hAnsi="Times New Roman" w:eastAsia="Times New Roman"/>
        </w:rPr>
        <w:t xml:space="preserve"> </w:t>
      </w:r>
      <w:r>
        <w:rPr>
          <w:rFonts w:ascii="Times New Roman" w:hAnsi="Times New Roman" w:eastAsia="Times New Roman"/>
        </w:rPr>
        <w:t xml:space="preserve">7.3. Все уведомления направляются по указанным адресам заказным письмом, курьером под подпись либо электронным способом, позволяющим подтвердить отправителя, содержание и дату доставки.</w:t>
      </w:r>
    </w:p>
    <w:bookmarkEnd w:id="29"/>
    <w:bookmarkStart w:id="30" w:name="заключительные-положения"/>
    <w:p>
      <w:pPr>
        <w:pStyle w:val="Heading3"/>
        <w:keepNext/>
      </w:pPr>
      <w:r>
        <w:rPr>
          <w:rFonts w:ascii="Times New Roman" w:hAnsi="Times New Roman" w:eastAsia="Times New Roman"/>
        </w:rPr>
        <w:t xml:space="preserve">8. Заключительные положения</w:t>
      </w:r>
    </w:p>
    <w:p>
      <w:pPr>
        <w:pStyle w:val="FirstParagraph"/>
      </w:pPr>
      <w:r>
        <w:rPr>
          <w:rFonts w:ascii="Times New Roman" w:hAnsi="Times New Roman" w:eastAsia="Times New Roman"/>
        </w:rPr>
        <w:t xml:space="preserve">8.1. Изменения действительны в письменной форме и подписываются уполномоченными лицами.</w:t>
      </w:r>
      <w:r>
        <w:rPr>
          <w:rFonts w:ascii="Times New Roman" w:hAnsi="Times New Roman" w:eastAsia="Times New Roman"/>
        </w:rPr>
        <w:t xml:space="preserve"> </w:t>
      </w:r>
      <w:r>
        <w:rPr>
          <w:rFonts w:ascii="Times New Roman" w:hAnsi="Times New Roman" w:eastAsia="Times New Roman"/>
        </w:rPr>
        <w:t xml:space="preserve">8.2. Недействительность отдельного условия не влечет недействительности остальных положений, если документ может исполняться без него.</w:t>
      </w:r>
      <w:r>
        <w:rPr>
          <w:rFonts w:ascii="Times New Roman" w:hAnsi="Times New Roman" w:eastAsia="Times New Roman"/>
        </w:rPr>
        <w:t xml:space="preserve"> </w:t>
      </w:r>
      <w:r>
        <w:rPr>
          <w:rFonts w:ascii="Times New Roman" w:hAnsi="Times New Roman" w:eastAsia="Times New Roman"/>
        </w:rPr>
        <w:t xml:space="preserve">8.3. Споры разрешаются путем переговоров и в компетентном суде с соблюдением обязательного досудебного порядка.</w:t>
      </w:r>
      <w:r>
        <w:rPr>
          <w:rFonts w:ascii="Times New Roman" w:hAnsi="Times New Roman" w:eastAsia="Times New Roman"/>
        </w:rPr>
        <w:t xml:space="preserve"> </w:t>
      </w:r>
      <w:r>
        <w:rPr>
          <w:rFonts w:ascii="Times New Roman" w:hAnsi="Times New Roman" w:eastAsia="Times New Roman"/>
        </w:rPr>
        <w:t xml:space="preserve">8.4. Документ составлен в количестве экземпляров, достаточном для сторон, нотариуса и органа регистрации.</w:t>
      </w:r>
    </w:p>
    <w:bookmarkEnd w:id="30"/>
    <w:bookmarkStart w:id="31" w:name="реквизиты-и-подписи"/>
    <w:p>
      <w:pPr>
        <w:pStyle w:val="Heading3"/>
        <w:keepNext/>
      </w:pPr>
      <w:r>
        <w:rPr>
          <w:rFonts w:ascii="Times New Roman" w:hAnsi="Times New Roman" w:eastAsia="Times New Roman"/>
        </w:rPr>
        <w:t xml:space="preserve">9. Реквизиты и подписи</w:t>
      </w:r>
    </w:p>
    <w:tbl>
      <w:tblPr>
        <w:tblW w:type="auto" w:w="0"/>
        <w:jc w:val="left"/>
        <w:tblLayout w:type="autofit"/>
        <w:tblLook w:firstRow="1" w:lastRow="0" w:firstColumn="0" w:lastColumn="0" w:noHBand="0" w:noVBand="0" w:val="0020"/>
      </w:tblPr>
      <w:tblGrid>
        <w:gridCol w:w="3960"/>
        <w:gridCol w:w="3960"/>
      </w:tblGrid>
      <w:tr>
        <w:trPr>
          <w:tblHeader w:val="on"/>
        </w:trPr>
        <w:tc>
          <w:tcPr>
            <w:vAlign w:val="center"/>
            <w:shd w:fill="D9E2F3"/>
          </w:tcPr>
          <w:p>
            <w:pPr>
              <w:pStyle w:val="Compact"/>
              <w:spacing w:after="40" w:line="240" w:lineRule="auto"/>
              <w:jc w:val="left"/>
            </w:pPr>
            <w:r>
              <w:rPr>
                <w:rFonts w:ascii="Times New Roman" w:hAnsi="Times New Roman"/>
                <w:b/>
                <w:sz w:val="19"/>
              </w:rPr>
              <w:t xml:space="preserve">Сторона 1</w:t>
            </w:r>
          </w:p>
        </w:tc>
        <w:tc>
          <w:tcPr>
            <w:vAlign w:val="center"/>
            <w:shd w:fill="D9E2F3"/>
          </w:tcPr>
          <w:p>
            <w:pPr>
              <w:pStyle w:val="Compact"/>
              <w:spacing w:after="40" w:line="240" w:lineRule="auto"/>
              <w:jc w:val="left"/>
            </w:pPr>
            <w:r>
              <w:rPr>
                <w:rFonts w:ascii="Times New Roman" w:hAnsi="Times New Roman"/>
                <w:b/>
                <w:sz w:val="19"/>
              </w:rPr>
              <w:t xml:space="preserve">Сторона 2</w:t>
            </w:r>
          </w:p>
        </w:tc>
      </w:tr>
      <w:tr>
        <w:tc>
          <w:tcPr>
            <w:vAlign w:val="center"/>
          </w:tcPr>
          <w:p>
            <w:pPr>
              <w:pStyle w:val="Compact"/>
              <w:spacing w:after="40" w:line="240" w:lineRule="auto"/>
              <w:jc w:val="left"/>
            </w:pPr>
            <w:r>
              <w:rPr>
                <w:rFonts w:ascii="Times New Roman" w:hAnsi="Times New Roman"/>
                <w:sz w:val="19"/>
              </w:rPr>
              <w:t xml:space="preserve">[реквизиты]</w:t>
            </w:r>
          </w:p>
        </w:tc>
        <w:tc>
          <w:tcPr>
            <w:vAlign w:val="center"/>
          </w:tcPr>
          <w:p>
            <w:pPr>
              <w:pStyle w:val="Compact"/>
              <w:spacing w:after="40" w:line="240" w:lineRule="auto"/>
              <w:jc w:val="left"/>
            </w:pPr>
            <w:r>
              <w:rPr>
                <w:rFonts w:ascii="Times New Roman" w:hAnsi="Times New Roman"/>
                <w:sz w:val="19"/>
              </w:rPr>
              <w:t xml:space="preserve">[реквизиты]</w:t>
            </w:r>
          </w:p>
        </w:tc>
      </w:tr>
      <w:tr>
        <w:tc>
          <w:tcPr>
            <w:vAlign w:val="center"/>
          </w:tcPr>
          <w:p>
            <w:pPr>
              <w:pStyle w:val="Compact"/>
              <w:spacing w:after="40" w:line="240" w:lineRule="auto"/>
              <w:jc w:val="left"/>
            </w:pPr>
            <w:r>
              <w:rPr>
                <w:rFonts w:ascii="Times New Roman" w:hAnsi="Times New Roman"/>
                <w:sz w:val="19"/>
              </w:rPr>
              <w:t xml:space="preserve">__________ / [ФИО]</w:t>
            </w:r>
          </w:p>
        </w:tc>
        <w:tc>
          <w:tcPr>
            <w:vAlign w:val="center"/>
          </w:tcPr>
          <w:p>
            <w:pPr>
              <w:pStyle w:val="Compact"/>
              <w:spacing w:after="40" w:line="240" w:lineRule="auto"/>
              <w:jc w:val="left"/>
            </w:pPr>
            <w:r>
              <w:rPr>
                <w:rFonts w:ascii="Times New Roman" w:hAnsi="Times New Roman"/>
                <w:sz w:val="19"/>
              </w:rPr>
              <w:t xml:space="preserve">__________ / [ФИО]</w:t>
            </w:r>
          </w:p>
        </w:tc>
      </w:tr>
    </w:tbl>
    <w:bookmarkEnd w:id="31"/>
    <w:bookmarkEnd w:id="32"/>
    <w:bookmarkStart w:id="33" w:name="X4d542380d78cb2a01471ebb0f5a0c1b6831dc04"/>
    <w:p>
      <w:pPr>
        <w:pStyle w:val="Heading2"/>
        <w:keepNext/>
      </w:pPr>
      <w:r>
        <w:rPr>
          <w:rFonts w:ascii="Times New Roman" w:hAnsi="Times New Roman" w:eastAsia="Times New Roman"/>
        </w:rPr>
        <w:t xml:space="preserve">Доказательства и связь с обстоятельствами</w:t>
      </w:r>
    </w:p>
    <w:p>
      <w:pPr>
        <w:pStyle w:val="FirstParagraph"/>
      </w:pPr>
      <w:r>
        <w:rPr>
          <w:rFonts w:ascii="Times New Roman" w:hAnsi="Times New Roman" w:eastAsia="Times New Roman"/>
        </w:rPr>
        <w:t xml:space="preserve">Документы следует расположить в хронологическом порядке и пронумеровать. В тексте рекомендуется указывать номер приложения рядом с соответствующим фактом. Для электронных доказательств сохраняются исходные файлы, заголовки писем, сведения об отправителе и доставке, а для переписки в мессенджере - данные аккаунта, дата и способ получения.</w:t>
      </w:r>
    </w:p>
    <w:p>
      <w:pPr>
        <w:pStyle w:val="BodyText"/>
      </w:pPr>
      <w:r>
        <w:rPr>
          <w:rFonts w:ascii="Times New Roman" w:hAnsi="Times New Roman" w:eastAsia="Times New Roman"/>
        </w:rPr>
        <w:t xml:space="preserve">Если подлинность документа оспаривается, необходимо представить оригинал либо объяснить его местонахождение, заявить об истребовании и при необходимости поставить вопрос об экспертизе. Отчет оценщика или заключение специалиста не заменяют судебную экспертизу, но могут обосновывать требование, цену и необходимость исследования.</w:t>
      </w:r>
    </w:p>
    <w:bookmarkEnd w:id="33"/>
    <w:bookmarkStart w:id="34" w:name="приложения"/>
    <w:p>
      <w:pPr>
        <w:pStyle w:val="Heading2"/>
        <w:keepNext/>
      </w:pPr>
      <w:r>
        <w:rPr>
          <w:rFonts w:ascii="Times New Roman" w:hAnsi="Times New Roman" w:eastAsia="Times New Roman"/>
        </w:rPr>
        <w:t xml:space="preserve">Приложения</w:t>
      </w:r>
    </w:p>
    <w:p>
      <w:pPr>
        <w:pStyle w:val="Compact"/>
        <w:numPr>
          <w:ilvl w:val="0"/>
          <w:numId w:val="1001"/>
        </w:numPr>
      </w:pPr>
      <w:r>
        <w:rPr>
          <w:rFonts w:ascii="Times New Roman" w:hAnsi="Times New Roman" w:eastAsia="Times New Roman"/>
        </w:rPr>
        <w:t xml:space="preserve">документ, подтверждающий полномочия подписанта или представителя.</w:t>
      </w:r>
    </w:p>
    <w:p>
      <w:pPr>
        <w:pStyle w:val="Compact"/>
        <w:numPr>
          <w:ilvl w:val="0"/>
          <w:numId w:val="1001"/>
        </w:numPr>
      </w:pPr>
      <w:r>
        <w:rPr>
          <w:rFonts w:ascii="Times New Roman" w:hAnsi="Times New Roman" w:eastAsia="Times New Roman"/>
        </w:rPr>
        <w:t xml:space="preserve">актуальная выписка ЕГРН и документ-основание права.</w:t>
      </w:r>
    </w:p>
    <w:p>
      <w:pPr>
        <w:pStyle w:val="Compact"/>
        <w:numPr>
          <w:ilvl w:val="0"/>
          <w:numId w:val="1001"/>
        </w:numPr>
      </w:pPr>
      <w:r>
        <w:rPr>
          <w:rFonts w:ascii="Times New Roman" w:hAnsi="Times New Roman" w:eastAsia="Times New Roman"/>
        </w:rPr>
        <w:t xml:space="preserve">документы, подтверждающие изложенные факты и расчеты.</w:t>
      </w:r>
    </w:p>
    <w:p>
      <w:pPr>
        <w:pStyle w:val="Compact"/>
        <w:numPr>
          <w:ilvl w:val="0"/>
          <w:numId w:val="1001"/>
        </w:numPr>
      </w:pPr>
      <w:r>
        <w:rPr>
          <w:rFonts w:ascii="Times New Roman" w:hAnsi="Times New Roman" w:eastAsia="Times New Roman"/>
        </w:rPr>
        <w:t xml:space="preserve">доказательства направления документа и его вручения адресату.</w:t>
      </w:r>
    </w:p>
    <w:p>
      <w:pPr>
        <w:pStyle w:val="Compact"/>
        <w:numPr>
          <w:ilvl w:val="0"/>
          <w:numId w:val="1001"/>
        </w:numPr>
      </w:pPr>
      <w:r>
        <w:rPr>
          <w:rFonts w:ascii="Times New Roman" w:hAnsi="Times New Roman" w:eastAsia="Times New Roman"/>
        </w:rPr>
        <w:t xml:space="preserve">проект основного или предварительного договора.</w:t>
      </w:r>
    </w:p>
    <w:p>
      <w:pPr>
        <w:pStyle w:val="Compact"/>
        <w:numPr>
          <w:ilvl w:val="0"/>
          <w:numId w:val="1001"/>
        </w:numPr>
      </w:pPr>
      <w:r>
        <w:rPr>
          <w:rFonts w:ascii="Times New Roman" w:hAnsi="Times New Roman" w:eastAsia="Times New Roman"/>
        </w:rPr>
        <w:t xml:space="preserve">документы об оплате аванса или задатка.</w:t>
      </w:r>
    </w:p>
    <w:p>
      <w:pPr>
        <w:pStyle w:val="Compact"/>
        <w:numPr>
          <w:ilvl w:val="0"/>
          <w:numId w:val="1001"/>
        </w:numPr>
      </w:pPr>
      <w:r>
        <w:rPr>
          <w:rFonts w:ascii="Times New Roman" w:hAnsi="Times New Roman" w:eastAsia="Times New Roman"/>
        </w:rPr>
        <w:t xml:space="preserve">нотариальные согласия и уведомления сособственников, если применимо.</w:t>
      </w:r>
    </w:p>
    <w:p>
      <w:pPr>
        <w:pStyle w:val="Compact"/>
        <w:numPr>
          <w:ilvl w:val="0"/>
          <w:numId w:val="1001"/>
        </w:numPr>
      </w:pPr>
      <w:r>
        <w:rPr>
          <w:rFonts w:ascii="Times New Roman" w:hAnsi="Times New Roman" w:eastAsia="Times New Roman"/>
        </w:rPr>
        <w:t xml:space="preserve">акт осмотра и перечень имущества, передаваемого с объектом.</w:t>
      </w:r>
    </w:p>
    <w:bookmarkEnd w:id="34"/>
    <w:bookmarkStart w:id="35" w:name="что-заменить-перед-использованием"/>
    <w:p>
      <w:pPr>
        <w:pStyle w:val="Heading2"/>
        <w:keepNext/>
      </w:pPr>
      <w:r>
        <w:rPr>
          <w:rFonts w:ascii="Times New Roman" w:hAnsi="Times New Roman" w:eastAsia="Times New Roman"/>
        </w:rPr>
        <w:t xml:space="preserve">Что заменить перед использованием</w:t>
      </w:r>
    </w:p>
    <w:p>
      <w:pPr>
        <w:pStyle w:val="Compact"/>
        <w:numPr>
          <w:ilvl w:val="0"/>
          <w:numId w:val="1002"/>
        </w:numPr>
      </w:pPr>
      <w:r>
        <w:rPr>
          <w:rFonts w:ascii="Times New Roman" w:hAnsi="Times New Roman" w:eastAsia="Times New Roman"/>
        </w:rPr>
        <w:t xml:space="preserve">Наименование адресата, суда и состав участников.</w:t>
      </w:r>
    </w:p>
    <w:p>
      <w:pPr>
        <w:pStyle w:val="Compact"/>
        <w:numPr>
          <w:ilvl w:val="0"/>
          <w:numId w:val="1002"/>
        </w:numPr>
      </w:pPr>
      <w:r>
        <w:rPr>
          <w:rFonts w:ascii="Times New Roman" w:hAnsi="Times New Roman" w:eastAsia="Times New Roman"/>
        </w:rPr>
        <w:t xml:space="preserve">ФИО, идентификаторы, адреса, банковские и корпоративные реквизиты.</w:t>
      </w:r>
    </w:p>
    <w:p>
      <w:pPr>
        <w:pStyle w:val="Compact"/>
        <w:numPr>
          <w:ilvl w:val="0"/>
          <w:numId w:val="1002"/>
        </w:numPr>
      </w:pPr>
      <w:r>
        <w:rPr>
          <w:rFonts w:ascii="Times New Roman" w:hAnsi="Times New Roman" w:eastAsia="Times New Roman"/>
        </w:rPr>
        <w:t xml:space="preserve">Точное описание объекта по актуальной выписке ЕГРН.</w:t>
      </w:r>
    </w:p>
    <w:p>
      <w:pPr>
        <w:pStyle w:val="Compact"/>
        <w:numPr>
          <w:ilvl w:val="0"/>
          <w:numId w:val="1002"/>
        </w:numPr>
      </w:pPr>
      <w:r>
        <w:rPr>
          <w:rFonts w:ascii="Times New Roman" w:hAnsi="Times New Roman" w:eastAsia="Times New Roman"/>
        </w:rPr>
        <w:t xml:space="preserve">Даты, номера договоров, суммы, периоды и формулы расчетов.</w:t>
      </w:r>
    </w:p>
    <w:p>
      <w:pPr>
        <w:pStyle w:val="Compact"/>
        <w:numPr>
          <w:ilvl w:val="0"/>
          <w:numId w:val="1002"/>
        </w:numPr>
      </w:pPr>
      <w:r>
        <w:rPr>
          <w:rFonts w:ascii="Times New Roman" w:hAnsi="Times New Roman" w:eastAsia="Times New Roman"/>
        </w:rPr>
        <w:t xml:space="preserve">Фактическую хронологию и ссылки на приложения.</w:t>
      </w:r>
    </w:p>
    <w:p>
      <w:pPr>
        <w:pStyle w:val="Compact"/>
        <w:numPr>
          <w:ilvl w:val="0"/>
          <w:numId w:val="1002"/>
        </w:numPr>
      </w:pPr>
      <w:r>
        <w:rPr>
          <w:rFonts w:ascii="Times New Roman" w:hAnsi="Times New Roman" w:eastAsia="Times New Roman"/>
        </w:rPr>
        <w:t xml:space="preserve">Правовые нормы и судебную практику, актуальные на дату использования.</w:t>
      </w:r>
    </w:p>
    <w:p>
      <w:pPr>
        <w:pStyle w:val="Compact"/>
        <w:numPr>
          <w:ilvl w:val="0"/>
          <w:numId w:val="1002"/>
        </w:numPr>
      </w:pPr>
      <w:r>
        <w:rPr>
          <w:rFonts w:ascii="Times New Roman" w:hAnsi="Times New Roman" w:eastAsia="Times New Roman"/>
        </w:rPr>
        <w:t xml:space="preserve">Просительную часть, чтобы она точно соответствовала выбранному способу защиты.</w:t>
      </w:r>
    </w:p>
    <w:bookmarkEnd w:id="35"/>
    <w:bookmarkStart w:id="36" w:name="процессуальные-и-договорные-риски"/>
    <w:p>
      <w:pPr>
        <w:pStyle w:val="Heading2"/>
        <w:keepNext/>
      </w:pPr>
      <w:r>
        <w:rPr>
          <w:rFonts w:ascii="Times New Roman" w:hAnsi="Times New Roman" w:eastAsia="Times New Roman"/>
        </w:rPr>
        <w:t xml:space="preserve">Процессуальные и договорные риски</w:t>
      </w:r>
    </w:p>
    <w:p>
      <w:pPr>
        <w:pStyle w:val="Compact"/>
        <w:numPr>
          <w:ilvl w:val="0"/>
          <w:numId w:val="1003"/>
        </w:numPr>
      </w:pPr>
      <w:r>
        <w:rPr>
          <w:rFonts w:ascii="Times New Roman" w:hAnsi="Times New Roman" w:eastAsia="Times New Roman"/>
        </w:rPr>
        <w:t xml:space="preserve">Недостаточная индивидуализация объекта или отсутствие обязательной нотариальной формы может привести к незаключенности документа либо отказу в регистрации.</w:t>
      </w:r>
    </w:p>
    <w:p>
      <w:pPr>
        <w:pStyle w:val="Compact"/>
        <w:numPr>
          <w:ilvl w:val="0"/>
          <w:numId w:val="1003"/>
        </w:numPr>
      </w:pPr>
      <w:r>
        <w:rPr>
          <w:rFonts w:ascii="Times New Roman" w:hAnsi="Times New Roman" w:eastAsia="Times New Roman"/>
        </w:rPr>
        <w:t xml:space="preserve">Расчет до регистрации без безопасного механизма увеличивает риск утраты денег или объекта.</w:t>
      </w:r>
    </w:p>
    <w:p>
      <w:pPr>
        <w:pStyle w:val="Compact"/>
        <w:numPr>
          <w:ilvl w:val="0"/>
          <w:numId w:val="1003"/>
        </w:numPr>
      </w:pPr>
      <w:r>
        <w:rPr>
          <w:rFonts w:ascii="Times New Roman" w:hAnsi="Times New Roman" w:eastAsia="Times New Roman"/>
        </w:rPr>
        <w:t xml:space="preserve">Общие заверения без последствий малоэффективны: нужно установить удержание суммы, неустойку, обязанность устранить нарушение и право на отказ.</w:t>
      </w:r>
    </w:p>
    <w:p>
      <w:pPr>
        <w:pStyle w:val="Compact"/>
        <w:numPr>
          <w:ilvl w:val="0"/>
          <w:numId w:val="1003"/>
        </w:numPr>
      </w:pPr>
      <w:r>
        <w:rPr>
          <w:rFonts w:ascii="Times New Roman" w:hAnsi="Times New Roman" w:eastAsia="Times New Roman"/>
        </w:rPr>
        <w:t xml:space="preserve">Передача ключей не заменяет государственную регистрацию права и не подтверждает отсутствие прав третьих лиц.</w:t>
      </w:r>
    </w:p>
    <w:bookmarkEnd w:id="36"/>
    <w:bookmarkStart w:id="37" w:name="подпись"/>
    <w:p>
      <w:pPr>
        <w:pStyle w:val="Heading2"/>
        <w:keepNext/>
      </w:pPr>
      <w:r>
        <w:rPr>
          <w:rFonts w:ascii="Times New Roman" w:hAnsi="Times New Roman" w:eastAsia="Times New Roman"/>
        </w:rPr>
        <w:t xml:space="preserve">Подпись</w:t>
      </w:r>
    </w:p>
    <w:p>
      <w:pPr>
        <w:pStyle w:val="FirstParagraph"/>
      </w:pPr>
      <w:r>
        <w:rPr>
          <w:rFonts w:ascii="Times New Roman" w:hAnsi="Times New Roman" w:eastAsia="Times New Roman"/>
        </w:rPr>
        <w:t xml:space="preserve">«</w:t>
      </w:r>
      <w:r>
        <w:rPr>
          <w:rFonts w:ascii="Times New Roman" w:hAnsi="Times New Roman" w:eastAsia="Times New Roman"/>
          <w:b/>
          <w:bCs/>
          <w:i/>
          <w:iCs/>
        </w:rPr>
        <w:t xml:space="preserve">»</w:t>
      </w:r>
      <w:r>
        <w:rPr>
          <w:rFonts w:ascii="Times New Roman" w:hAnsi="Times New Roman" w:eastAsia="Times New Roman"/>
          <w:b/>
          <w:bCs/>
          <w:i/>
          <w:iCs/>
        </w:rPr>
        <w:t xml:space="preserve"> </w:t>
      </w:r>
      <w:r>
        <w:rPr>
          <w:rFonts w:ascii="Times New Roman" w:hAnsi="Times New Roman" w:eastAsia="Times New Roman"/>
        </w:rPr>
        <w:t xml:space="preserve">_______ 20__ года</w:t>
      </w:r>
      <w:r>
        <w:rPr>
          <w:rFonts w:ascii="Times New Roman" w:hAnsi="Times New Roman" w:eastAsia="Times New Roman"/>
        </w:rPr>
        <w:t xml:space="preserve"> </w:t>
      </w:r>
      <w:r>
        <w:rPr>
          <w:rFonts w:ascii="Times New Roman" w:hAnsi="Times New Roman" w:eastAsia="Times New Roman"/>
        </w:rPr>
        <w:t xml:space="preserve">[ФИО / должность] __________________ /</w:t>
      </w:r>
      <w:r>
        <w:rPr>
          <w:rFonts w:ascii="Times New Roman" w:hAnsi="Times New Roman" w:eastAsia="Times New Roman"/>
        </w:rPr>
        <w:t xml:space="preserve"> </w:t>
      </w:r>
      <w:hyperlink w:anchor="подпись">
        <w:r>
          <w:rPr>
            <w:rStyle w:val="Hyperlink"/>
          </w:rPr>
          <w:t xml:space="preserve">подпись</w:t>
        </w:r>
      </w:hyperlink>
    </w:p>
    <w:p>
      <w:pPr>
        <w:spacing w:line="276" w:lineRule="auto" w:after="120"/>
      </w:pPr>
      <w:r>
        <w:rPr>
          <w:rFonts w:ascii="Times New Roman" w:hAnsi="Times New Roman" w:eastAsia="Times New Roman"/>
        </w:rPr>
        <w:pict>
          <v:rect style="width:0;height:1.5pt" o:hralign="center" o:hrstd="t" o:hr="t"/>
        </w:pict>
      </w:r>
    </w:p>
    <w:p>
      <w:pPr>
        <w:pStyle w:val="FirstParagraph"/>
      </w:pPr>
      <w:r>
        <w:rPr>
          <w:rFonts w:ascii="Times New Roman" w:hAnsi="Times New Roman" w:eastAsia="Times New Roman"/>
          <w:i/>
          <w:iCs/>
        </w:rPr>
        <w:t xml:space="preserve">Подготовлено для процессуальной библиотеки Юридическая фирма «Зотова и партнеры». Образец носит информационный характер и требует индивидуальной юридической адаптации.</w:t>
      </w:r>
    </w:p>
    <w:bookmarkEnd w:id="37"/>
    <w:bookmarkEnd w:id="38"/>
    <w:sectPr>
      <w:footerReference r:id="rId9" w:type="default"/>
      <w:pgSz w:h="16838" w:w="11906"/>
      <w:pgMar w:bottom="1134" w:left="1247" w:right="1020" w:top="1134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  <w:jc w:val="center"/>
    </w:pPr>
    <w:r>
      <w:rPr>
        <w:rFonts w:ascii="Times New Roman" w:hAnsi="Times New Roman"/>
        <w:color w:val="646464"/>
        <w:sz w:val="16"/>
      </w:rPr>
      <w:t>Юридическая фирма «Зотова и партнеры» | zotowa.ru</w:t>
    </w:r>
  </w:p>
  <w:p>
    <w:pPr>
      <w:jc w:val="right"/>
    </w:pPr>
    <w:r>
      <w:rPr>
        <w:rFonts w:ascii="Times New Roman" w:hAnsi="Times New Roman"/>
        <w:sz w:val="18"/>
      </w:rPr>
      <w:t xml:space="preserve">Страница </w:t>
      <w:fldChar w:fldCharType="begin"/>
      <w:instrText xml:space="preserve"> PAGE </w:instrText>
      <w:fldChar w:fldCharType="end"/>
    </w: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0000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411">
    <w:nsid w:val="00A9941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decimal"/>
      <w:lvlText w:val="%2."/>
      <w:lvlJc w:val="left"/>
      <w:pPr>
        <w:ind w:left="1440" w:hanging="480"/>
      </w:pPr>
    </w:lvl>
    <w:lvl w:ilvl="2">
      <w:start w:val="1"/>
      <w:numFmt w:val="decimal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decimal"/>
      <w:lvlText w:val="%5."/>
      <w:lvlJc w:val="left"/>
      <w:pPr>
        <w:ind w:left="3600" w:hanging="480"/>
      </w:pPr>
    </w:lvl>
    <w:lvl w:ilvl="5">
      <w:start w:val="1"/>
      <w:numFmt w:val="decimal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decimal"/>
      <w:lvlText w:val="%8."/>
      <w:lvlJc w:val="left"/>
      <w:pPr>
        <w:ind w:left="5760" w:hanging="480"/>
      </w:pPr>
    </w:lvl>
    <w:lvl w:ilvl="8">
      <w:start w:val="1"/>
      <w:numFmt w:val="decimal"/>
      <w:lvlText w:val="%9."/>
      <w:lvlJc w:val="left"/>
      <w:pPr>
        <w:ind w:left="6480" w:hanging="480"/>
      </w:pPr>
    </w:lvl>
  </w:abstractNum>
  <w:abstractNum w:abstractNumId="991">
    <w:nsid w:val="0000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4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2">
    <w:abstractNumId w:val="991"/>
  </w:num>
  <w:num w:numId="1003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zoom w:percent="100"/>
  <w:embedSystemFonts/>
  <w:proofState w:grammar="clean" w:spelling="clean"/>
  <w:stylePaneFormatFilter w:val="0004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footnotePr>
    <w:footnote w:id="-1"/>
    <w:footnote w:id="0"/>
  </w:footnotePr>
  <w:rsids>
  </w:rsids>
  <w:themeFontLang w:val="en-US"/>
  <w:clrSchemeMapping w:accent1="accent1" w:accent2="accent2" w:accent3="accent3" w:accent4="accent4" w:accent5="accent5" w:accent6="accent6" w:bg1="light1" w:bg2="light2" w:followedHyperlink="followedHyperlink" w:hyperlink="hyperlink" w:t1="dark1" w:t2="dark2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  <w:pPr>
      <w:spacing w:after="120" w:line="276" w:lineRule="auto"/>
    </w:pPr>
    <w:rPr>
      <w:rFonts w:ascii="Times New Roman" w:eastAsia="Times New Roman" w:hAnsi="Times New Roman"/>
      <w:sz w:val="22"/>
    </w:rPr>
  </w:style>
  <w:style w:styleId="BodyText" w:type="paragraph">
    <w:name w:val="Body Text"/>
    <w:basedOn w:val="Normal"/>
    <w:link w:val="BodyTextChar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100" w:before="0"/>
      <w:jc w:val="center"/>
    </w:pPr>
    <w:rPr>
      <w:rFonts w:ascii="Times New Roman" w:asciiTheme="majorHAnsi" w:cstheme="majorBidi" w:eastAsia="Times New Roman" w:eastAsiaTheme="majorEastAsia" w:hAnsi="Times New Roman" w:hAnsiTheme="majorHAnsi"/>
      <w:b/>
      <w:bCs/>
      <w:color w:val="1F4E79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100" w:before="0"/>
      <w:jc w:val="center"/>
    </w:pPr>
    <w:rPr>
      <w:rFonts w:ascii="Times New Roman" w:eastAsia="Times New Roman" w:hAnsi="Times New Roman"/>
      <w:b w:val="0"/>
      <w:color w:val="666666"/>
      <w:sz w:val="22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Title" w:type="paragraph">
    <w:name w:val="Abstract Title"/>
    <w:basedOn w:val="Normal"/>
    <w:next w:val="Abstract"/>
    <w:qFormat/>
    <w:pPr>
      <w:keepNext/>
      <w:keepLines/>
      <w:spacing w:after="0" w:before="300"/>
      <w:jc w:val="center"/>
    </w:pPr>
    <w:rPr>
      <w:b/>
      <w:color w:val="345A8A"/>
      <w:sz w:val="20"/>
      <w:szCs w:val="20"/>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Cs/>
      <w:i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20" w:before="120"/>
      <w:ind w:firstLine="0" w:left="454" w:right="227"/>
    </w:pPr>
    <w:rPr>
      <w:rFonts w:ascii="Times New Roman" w:eastAsia="Times New Roman" w:hAnsi="Times New Roman"/>
      <w:i w:val="0"/>
      <w:color w:val="444444"/>
      <w:sz w:val="20"/>
    </w:rPr>
  </w:style>
  <w:style w:styleId="FootnoteText" w:type="paragraph">
    <w:name w:val="Footnote Text"/>
    <w:basedOn w:val="Normal"/>
    <w:next w:val="FootnoteText"/>
    <w:uiPriority w:val="9"/>
    <w:unhideWhenUsed/>
    <w:qFormat/>
  </w:style>
  <w:style w:styleId="FootnoteBlockText" w:type="paragraph">
    <w:name w:val="Footnote Block Text"/>
    <w:basedOn w:val="Footnote Text"/>
    <w:next w:val="Footnote Text"/>
    <w:uiPriority w:val="9"/>
    <w:unhideWhenUsed/>
    <w:qFormat/>
    <w:pPr>
      <w:spacing w:after="100" w:before="100"/>
      <w:ind w:firstLine="0" w:left="480" w:right="480"/>
    </w:pPr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tcBorders>
          <w:bottom w:val="single"/>
        </w:tcBorders>
        <w:vAlign w:val="bottom"/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b/>
      <w:color w:val="007020"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b/>
      <w:color w:val="008000"/>
    </w:rPr>
  </w:style>
  <w:style w:type="character" w:customStyle="1" w:styleId="CommentTok">
    <w:name w:val="CommentTok"/>
    <w:basedOn w:val="VerbatimChar"/>
    <w:rPr>
      <w:i/>
      <w:color w:val="60a0b0"/>
    </w:rPr>
  </w:style>
  <w:style w:type="character" w:customStyle="1" w:styleId="DocumentationTok">
    <w:name w:val="DocumentationTok"/>
    <w:basedOn w:val="VerbatimChar"/>
    <w:rPr>
      <w:i/>
      <w:color w:val="ba2121"/>
    </w:rPr>
  </w:style>
  <w:style w:type="character" w:customStyle="1" w:styleId="AnnotationTok">
    <w:name w:val="AnnotationTok"/>
    <w:basedOn w:val="VerbatimChar"/>
    <w:rPr>
      <w:b/>
      <w:i/>
      <w:color w:val="60a0b0"/>
    </w:rPr>
  </w:style>
  <w:style w:type="character" w:customStyle="1" w:styleId="CommentVarTok">
    <w:name w:val="CommentVarTok"/>
    <w:basedOn w:val="VerbatimChar"/>
    <w:rPr>
      <w:b/>
      <w:i/>
      <w:color w:val="60a0b0"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b/>
      <w:color w:val="007020"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b/>
      <w:i/>
      <w:color w:val="60a0b0"/>
    </w:rPr>
  </w:style>
  <w:style w:type="character" w:customStyle="1" w:styleId="WarningTok">
    <w:name w:val="WarningTok"/>
    <w:basedOn w:val="VerbatimChar"/>
    <w:rPr>
      <w:b/>
      <w:i/>
      <w:color w:val="60a0b0"/>
    </w:rPr>
  </w:style>
  <w:style w:type="character" w:customStyle="1" w:styleId="AlertTok">
    <w:name w:val="AlertTok"/>
    <w:basedOn w:val="VerbatimChar"/>
    <w:rPr>
      <w:b/>
      <w:color w:val="ff0000"/>
    </w:rPr>
  </w:style>
  <w:style w:type="character" w:customStyle="1" w:styleId="ErrorTok">
    <w:name w:val="ErrorTok"/>
    <w:basedOn w:val="VerbatimChar"/>
    <w:rPr>
      <w:b/>
      <w:color w:val="ff0000"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7" Type="http://schemas.openxmlformats.org/officeDocument/2006/relationships/footnotes" Target="footnotes.xml"/><Relationship Id="rId8" Type="http://schemas.openxmlformats.org/officeDocument/2006/relationships/comments" Target="commen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Юридическая фирма «Зотова и партнеры»</dc:creator>
  <cp:keywords/>
  <dcterms:created xsi:type="dcterms:W3CDTF">2026-07-18T09:18:35Z</dcterms:created>
  <dcterms:modified xsi:type="dcterms:W3CDTF">2026-07-18T09:18:35Z</dcterms:modified>
  <dc:description>Образец для процессуальной библиотеки zotowa.ru. Требует адаптации.</dc:description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