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f957f87f8058fa2c3331733631c480fc8e645e"/>
    <w:p>
      <w:pPr>
        <w:pStyle w:val="Heading1"/>
        <w:keepNext/>
      </w:pPr>
      <w:r>
        <w:rPr>
          <w:rFonts w:ascii="Times New Roman" w:hAnsi="Times New Roman" w:eastAsia="Times New Roman"/>
        </w:rPr>
        <w:t xml:space="preserve">173. Исковое заявление об устранении препятствий в проезде и проходе к участку</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с кадастровым номером 50:15:0060402:517 по адресу: Московская область, городской округ Балашиха, д. Русавкино-Поповщино.</w:t>
      </w:r>
    </w:p>
    <w:p>
      <w:pPr>
        <w:pStyle w:val="BodyText"/>
      </w:pPr>
      <w:r>
        <w:rPr>
          <w:rFonts w:ascii="Times New Roman" w:hAnsi="Times New Roman" w:eastAsia="Times New Roman"/>
        </w:rPr>
        <w:t xml:space="preserve">Без прохода и проезда через полосу шириной 4 метра по участку ответчика объект истца не имеет доступа к дороге общего пользования. Предложены два маршрута; выбран наименее обременительный. Размер платы определен оценщиком.</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fa0cc5c1b9057ecb2a2871e969a04c6b0a59fc3"/>
    <w:p>
      <w:pPr>
        <w:pStyle w:val="Heading2"/>
        <w:keepNext/>
      </w:pPr>
      <w:r>
        <w:rPr>
          <w:rFonts w:ascii="Times New Roman" w:hAnsi="Times New Roman" w:eastAsia="Times New Roman"/>
        </w:rPr>
        <w:t xml:space="preserve">ИСКОВОЕ ЗАЯВЛЕНИЕ ОБ УСТРАНЕНИИ ПРЕПЯТСТВИЙ В ПРОЕЗДЕ И ПРОХОДЕ К УЧАСТКУ</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Без прохода и проезда через полосу шириной 4 метра по участку ответчика объект истца не имеет доступа к дороге общего пользования. Предложены два маршрута; выбран наименее обременительный. Размер платы определен оценщиком.</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статья 23 ЗК РФ и статьи 274-276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Обязать ответчика устранить препятствия, демонтировать запирающее устройство либо предоставить постоянный доступ по согласованному маршруту.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схема предлагаемых маршрутов сервитута.</w:t>
      </w:r>
    </w:p>
    <w:p>
      <w:pPr>
        <w:pStyle w:val="Compact"/>
        <w:numPr>
          <w:ilvl w:val="0"/>
          <w:numId w:val="1003"/>
        </w:numPr>
      </w:pPr>
      <w:r>
        <w:rPr>
          <w:rFonts w:ascii="Times New Roman" w:hAnsi="Times New Roman" w:eastAsia="Times New Roman"/>
        </w:rPr>
        <w:t xml:space="preserve">заключение кадастрового инженера.</w:t>
      </w:r>
    </w:p>
    <w:p>
      <w:pPr>
        <w:pStyle w:val="Compact"/>
        <w:numPr>
          <w:ilvl w:val="0"/>
          <w:numId w:val="1003"/>
        </w:numPr>
      </w:pPr>
      <w:r>
        <w:rPr>
          <w:rFonts w:ascii="Times New Roman" w:hAnsi="Times New Roman" w:eastAsia="Times New Roman"/>
        </w:rPr>
        <w:t xml:space="preserve">отчет о размере платы за сервитут.</w:t>
      </w:r>
    </w:p>
    <w:p>
      <w:pPr>
        <w:pStyle w:val="Compact"/>
        <w:numPr>
          <w:ilvl w:val="0"/>
          <w:numId w:val="1003"/>
        </w:numPr>
      </w:pPr>
      <w:r>
        <w:rPr>
          <w:rFonts w:ascii="Times New Roman" w:hAnsi="Times New Roman" w:eastAsia="Times New Roman"/>
        </w:rPr>
        <w:t xml:space="preserve">доказательства попытки договорного урегулирования.</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2026-07-18T09:18:52Z</dcterms:created>
  <dcterms:modified xsi:type="dcterms:W3CDTF">2026-07-18T09:18:52Z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