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56d68f08bcd707e8698375b4ad744a72c8ecc3"/>
    <w:p>
      <w:pPr>
        <w:pStyle w:val="Heading1"/>
        <w:keepNext/>
      </w:pPr>
      <w:r>
        <w:rPr>
          <w:rFonts w:ascii="Times New Roman" w:hAnsi="Times New Roman" w:eastAsia="Times New Roman"/>
        </w:rPr>
        <w:t xml:space="preserve">160. Заявление об оспаривании решения органа власти о сносе объекта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В 2022 году собственник возвел пристройку площадью 46 кв. м и мансардный этаж. Уведомительный порядок до начала работ полностью не соблюден. Заключение специалиста от 12.03.2026 указывает на соответствие конструкций требованиям безопасности и отсутствие угрозы соседнему дому. Администрация 30.05.2026 потребовала демонтировать пристройку, не исследовав возможность приведения объекта в соответствие.</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3ca1136607bd9e05e8e6e313f9be343de4d944c"/>
    <w:p>
      <w:pPr>
        <w:pStyle w:val="Heading2"/>
        <w:keepNext/>
      </w:pPr>
      <w:r>
        <w:rPr>
          <w:rFonts w:ascii="Times New Roman" w:hAnsi="Times New Roman" w:eastAsia="Times New Roman"/>
        </w:rPr>
        <w:t xml:space="preserve">ЗАЯВЛЕНИЕ ОБ ОСПАРИВАНИИ РЕШЕНИЯ ОРГАНА ВЛАСТИ О СНОСЕ ОБЪЕКТА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В 2022 году собственник возвел пристройку площадью 46 кв. м и мансардный этаж. Уведомительный порядок до начала работ полностью не соблюден. Заключение специалиста от 12.03.2026 указывает на соответствие конструкций требованиям безопасности и отсутствие угрозы соседнему дому. Администрация 30.05.2026 потребовала демонтировать пристройку, не исследовав возможность приведения объекта в соответствие.</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