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3a1afe543b50aa53d48b11d9b66eda7cce6b679"/>
    <w:p>
      <w:pPr>
        <w:pStyle w:val="Heading1"/>
        <w:keepNext/>
      </w:pPr>
      <w:r>
        <w:rPr>
          <w:rFonts w:ascii="Times New Roman" w:hAnsi="Times New Roman" w:eastAsia="Times New Roman"/>
        </w:rPr>
        <w:t xml:space="preserve">149. Исковое заявление об оспаривании продажи недвижимости на торгах</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Организатор торгов не обеспечил публикацию полного описания объекта и ограничил доступ к осмотру. Победитель связан с должником. Истец объясняет, как нарушения повлияли на результат и почему восстановление права требует признания торгов и договора недействительными.</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e0304485dd4f15f03e4be80cd8cbed7e865657"/>
    <w:p>
      <w:pPr>
        <w:pStyle w:val="Heading2"/>
        <w:keepNext/>
      </w:pPr>
      <w:r>
        <w:rPr>
          <w:rFonts w:ascii="Times New Roman" w:hAnsi="Times New Roman" w:eastAsia="Times New Roman"/>
        </w:rPr>
        <w:t xml:space="preserve">ИСКОВОЕ ЗАЯВЛЕНИЕ ОБ ОСПАРИВАНИИ ПРОДАЖИ НЕДВИЖИМОСТИ НА ТОРГАХ</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Организатор торгов не обеспечил публикацию полного описания объекта и ограничил доступ к осмотру. Победитель связан с должником. Истец объясняет, как нарушения повлияли на результат и почему восстановление права требует признания торгов и договора недействительными.</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2026-07-18T09:18:50Z</dcterms:created>
  <dcterms:modified xsi:type="dcterms:W3CDTF">2026-07-18T09:18:50Z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