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60e525c72019580e497a742e646184f0180ef98"/>
    <w:p>
      <w:pPr>
        <w:pStyle w:val="Heading1"/>
        <w:keepNext/>
      </w:pPr>
      <w:r>
        <w:rPr>
          <w:rFonts w:ascii="Times New Roman" w:hAnsi="Times New Roman" w:eastAsia="Times New Roman"/>
        </w:rPr>
        <w:t xml:space="preserve">145. Исковое заявление о признании мнимой или притворной сделки с недвижимостью недействительной</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Волкова Елена Николаевна; ответчики - Волков Андрей Сергеевич и Лебедев Максим Романович; третье лицо - Управление Росреестра по г. Москве.</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площадью 78,1 кв. м по адресу: г. Москва, ул. Чертановская, д. 32, кв. 118, кадастровый номер 77:05:0007005:4027.</w:t>
      </w:r>
    </w:p>
    <w:p>
      <w:pPr>
        <w:pStyle w:val="BodyText"/>
      </w:pPr>
      <w:r>
        <w:rPr>
          <w:rFonts w:ascii="Times New Roman" w:hAnsi="Times New Roman" w:eastAsia="Times New Roman"/>
        </w:rPr>
        <w:t xml:space="preserve">После формальной продажи продавец сохранил владение, оплачивал коммунальные услуги и распоряжался квартирой. Денежные средства по договору не поступали. Эти факты исследуются в совокупности, поскольку одно продолжение проживания само по себе не доказывает мнимость.</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4dd31af17f9e89f18d4fe3db3a3a81dce761421"/>
    <w:p>
      <w:pPr>
        <w:pStyle w:val="Heading2"/>
        <w:keepNext/>
      </w:pPr>
      <w:r>
        <w:rPr>
          <w:rFonts w:ascii="Times New Roman" w:hAnsi="Times New Roman" w:eastAsia="Times New Roman"/>
        </w:rPr>
        <w:t xml:space="preserve">ИСКОВОЕ ЗАЯВЛЕНИЕ О ПРИЗНАНИИ МНИМОЙ ИЛИ ПРИТВОРНОЙ СДЕЛКИ С НЕДВИЖИМОСТЬЮ НЕДЕЙСТВИТЕЛЬНОЙ</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После формальной продажи продавец сохранил владение, оплачивал коммунальные услуги и распоряжался квартирой. Денежные средства по договору не поступали. Эти факты исследуются в совокупности, поскольку одно продолжение проживания само по себе не доказывает мнимость.</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10, 166-181, 302 и 431.2 ГК РФ.</w:t>
      </w:r>
    </w:p>
    <w:p>
      <w:pPr>
        <w:pStyle w:val="Compact"/>
        <w:numPr>
          <w:ilvl w:val="0"/>
          <w:numId w:val="1001"/>
        </w:numPr>
      </w:pPr>
      <w:r>
        <w:rPr>
          <w:rFonts w:ascii="Times New Roman" w:hAnsi="Times New Roman" w:eastAsia="Times New Roman"/>
        </w:rPr>
        <w:t xml:space="preserve">статья 170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оспариваемую сделку, торги, решение или действие недействительным в указанной части.</w:t>
      </w:r>
    </w:p>
    <w:p>
      <w:pPr>
        <w:pStyle w:val="Compact"/>
        <w:numPr>
          <w:ilvl w:val="0"/>
          <w:numId w:val="1002"/>
        </w:numPr>
      </w:pPr>
      <w:r>
        <w:rPr>
          <w:rFonts w:ascii="Times New Roman" w:hAnsi="Times New Roman" w:eastAsia="Times New Roman"/>
        </w:rPr>
        <w:t xml:space="preserve">Применить конкретные последствия: возвратить объект, восстановить записи ЕГРН либо взыскать стоимость, исключив двойное восстановление.</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оспариваемый договор и регистрационные документы.</w:t>
      </w:r>
    </w:p>
    <w:p>
      <w:pPr>
        <w:pStyle w:val="Compact"/>
        <w:numPr>
          <w:ilvl w:val="0"/>
          <w:numId w:val="1003"/>
        </w:numPr>
      </w:pPr>
      <w:r>
        <w:rPr>
          <w:rFonts w:ascii="Times New Roman" w:hAnsi="Times New Roman" w:eastAsia="Times New Roman"/>
        </w:rPr>
        <w:t xml:space="preserve">доказательства осведомленности, отсутствия расчетов или сохранения владения.</w:t>
      </w:r>
    </w:p>
    <w:p>
      <w:pPr>
        <w:pStyle w:val="Compact"/>
        <w:numPr>
          <w:ilvl w:val="0"/>
          <w:numId w:val="1003"/>
        </w:numPr>
      </w:pPr>
      <w:r>
        <w:rPr>
          <w:rFonts w:ascii="Times New Roman" w:hAnsi="Times New Roman" w:eastAsia="Times New Roman"/>
        </w:rPr>
        <w:t xml:space="preserve">документы о браке, доверенности или полномочиях - по основанию иска.</w:t>
      </w:r>
    </w:p>
    <w:p>
      <w:pPr>
        <w:pStyle w:val="Compact"/>
        <w:numPr>
          <w:ilvl w:val="0"/>
          <w:numId w:val="1003"/>
        </w:numPr>
      </w:pPr>
      <w:r>
        <w:rPr>
          <w:rFonts w:ascii="Times New Roman" w:hAnsi="Times New Roman" w:eastAsia="Times New Roman"/>
        </w:rPr>
        <w:t xml:space="preserve">выписка ЕГРН до и после спорной сделки.</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2026-07-18T09:18:49Z</dcterms:created>
  <dcterms:modified xsi:type="dcterms:W3CDTF">2026-07-18T09:18:49Z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