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5d863818a5f1272efe13763428a9f44318f41a1"/>
    <w:p>
      <w:pPr>
        <w:pStyle w:val="Heading1"/>
        <w:keepNext/>
      </w:pPr>
      <w:r>
        <w:rPr>
          <w:rFonts w:ascii="Times New Roman" w:hAnsi="Times New Roman" w:eastAsia="Times New Roman"/>
        </w:rPr>
        <w:t xml:space="preserve">142. Исковое заявление о возмещении ущерба, причинённого заливом квартиры</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56,4 кв. м, кадастровый номер 50:15:0010902:1847.</w:t>
      </w:r>
    </w:p>
    <w:p>
      <w:pPr>
        <w:pStyle w:val="BodyText"/>
      </w:pPr>
      <w:r>
        <w:rPr>
          <w:rFonts w:ascii="Times New Roman" w:hAnsi="Times New Roman" w:eastAsia="Times New Roman"/>
        </w:rPr>
        <w:t xml:space="preserve">Залив произошел 03.04.2026 из квартиры этажом выше из-за разрыва гибкой подводки. Управляющая организация составила акт, независимая оценка определила восстановительный ремонт в 486 000 руб., расходы на оценку - 18 000 руб.</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1ae63c1d33ef00cd741a9da376ea338e6c3c7c9"/>
    <w:p>
      <w:pPr>
        <w:pStyle w:val="Heading2"/>
        <w:keepNext/>
      </w:pPr>
      <w:r>
        <w:rPr>
          <w:rFonts w:ascii="Times New Roman" w:hAnsi="Times New Roman" w:eastAsia="Times New Roman"/>
        </w:rPr>
        <w:t xml:space="preserve">ИСКОВОЕ ЗАЯВЛЕНИЕ О ВОЗМЕЩЕНИИ УЩЕРБА, ПРИЧИНЁННОГО ЗАЛИВОМ КВАРТИРЫ</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Залив произошел 03.04.2026 из квартиры этажом выше из-за разрыва гибкой подводки. Управляющая организация составила акт, независимая оценка определила восстановительный ремонт в 486 000 руб., расходы на оценку - 18 000 руб.</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Взыскать стоимость восстановительного ремонта без двойного учета износа и улучшений.</w:t>
      </w:r>
    </w:p>
    <w:p>
      <w:pPr>
        <w:pStyle w:val="Compact"/>
        <w:numPr>
          <w:ilvl w:val="0"/>
          <w:numId w:val="1002"/>
        </w:numPr>
      </w:pPr>
      <w:r>
        <w:rPr>
          <w:rFonts w:ascii="Times New Roman" w:hAnsi="Times New Roman" w:eastAsia="Times New Roman"/>
        </w:rPr>
        <w:t xml:space="preserve">Взыскать расходы на оценку, почтовые расходы и иные необходимые судебные издержки.</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2026-07-18T09:18:49Z</dcterms:created>
  <dcterms:modified xsi:type="dcterms:W3CDTF">2026-07-18T09:18:49Z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