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e11c31db2ed904303456e95f3ca234e3998b221"/>
    <w:p>
      <w:pPr>
        <w:pStyle w:val="Heading1"/>
        <w:keepNext/>
      </w:pPr>
      <w:r>
        <w:rPr>
          <w:rFonts w:ascii="Times New Roman" w:hAnsi="Times New Roman" w:eastAsia="Times New Roman"/>
        </w:rPr>
        <w:t xml:space="preserve">135. Исковое заявление об определении порядка пользования общей недвижимостью</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0d602432c1f03761f9343c862553705e847e92e"/>
    <w:p>
      <w:pPr>
        <w:pStyle w:val="Heading2"/>
        <w:keepNext/>
      </w:pPr>
      <w:r>
        <w:rPr>
          <w:rFonts w:ascii="Times New Roman" w:hAnsi="Times New Roman" w:eastAsia="Times New Roman"/>
        </w:rPr>
        <w:t xml:space="preserve">ИСКОВОЕ ЗАЯВЛЕНИЕ ОБ ОПРЕДЕЛЕНИИ ПОРЯДКА ПОЛЬЗОВАНИЯ ОБЩЕЙ НЕДВИЖИМОСТЬЮ</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статьи 244-252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Определить порядок пользования объектом: закрепить за каждым сособственником конкретные помещения, а места общего пользования оставить в совместном пользовании.</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2026-07-18T09:18:48Z</dcterms:created>
  <dcterms:modified xsi:type="dcterms:W3CDTF">2026-07-18T09:18:48Z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