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a6e5dd6729163e283519530bf5eb995158c059"/>
    <w:p>
      <w:pPr>
        <w:pStyle w:val="Heading1"/>
        <w:keepNext/>
      </w:pPr>
      <w:r>
        <w:rPr>
          <w:rFonts w:ascii="Times New Roman" w:hAnsi="Times New Roman" w:eastAsia="Times New Roman"/>
        </w:rPr>
        <w:t xml:space="preserve">134. Исковое заявление о признании права пользования жилым помещением</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1f7ac31b324dab86737b3a808620ed941dd9416"/>
    <w:p>
      <w:pPr>
        <w:pStyle w:val="Heading2"/>
        <w:keepNext/>
      </w:pPr>
      <w:r>
        <w:rPr>
          <w:rFonts w:ascii="Times New Roman" w:hAnsi="Times New Roman" w:eastAsia="Times New Roman"/>
        </w:rPr>
        <w:t xml:space="preserve">ИСКОВОЕ ЗАЯВЛЕНИЕ О ПРИЗНАНИИ ПРАВА ПОЛЬЗОВАНИЯ ЖИЛЫМ ПОМЕЩЕНИЕМ</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статьи 30-35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пользования жилым помещением на условиях и в объеме, установленных судом.</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