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5c89c2f5193372543817da6613d0f4c2f0dbb66"/>
    <w:p>
      <w:pPr>
        <w:pStyle w:val="Heading1"/>
        <w:keepNext/>
      </w:pPr>
      <w:r>
        <w:rPr>
          <w:rFonts w:ascii="Times New Roman" w:hAnsi="Times New Roman" w:eastAsia="Times New Roman"/>
        </w:rPr>
        <w:t xml:space="preserve">132. Исковое заявление о выселении и освобождении помещения</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Соколова Ирина Вадимовна; ответчик - Громов Сергей Петрович; третье лицо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146,3 кв. м и земельный участок площадью 900 кв. м по адресу: Московская область, городской округ Балашиха, д. Соболиха, ул. Центральная, д. 19, кадастровые номера 50:15:0080502:341 и 50:15:0080502:122.</w:t>
      </w:r>
    </w:p>
    <w:p>
      <w:pPr>
        <w:pStyle w:val="BodyText"/>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87973fa19a6ea7ed72f7711308e33c5218d2afd"/>
    <w:p>
      <w:pPr>
        <w:pStyle w:val="Heading2"/>
        <w:keepNext/>
      </w:pPr>
      <w:r>
        <w:rPr>
          <w:rFonts w:ascii="Times New Roman" w:hAnsi="Times New Roman" w:eastAsia="Times New Roman"/>
        </w:rPr>
        <w:t xml:space="preserve">ИСКОВОЕ ЗАЯВЛЕНИЕ О ВЫСЕЛЕНИИ И ОСВОБОЖДЕНИИ ПОМЕЩЕНИЯ</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12, 209, 218, 223, 301-305 ГК РФ.</w:t>
      </w:r>
    </w:p>
    <w:p>
      <w:pPr>
        <w:pStyle w:val="Compact"/>
        <w:numPr>
          <w:ilvl w:val="0"/>
          <w:numId w:val="1001"/>
        </w:numPr>
      </w:pPr>
      <w:r>
        <w:rPr>
          <w:rFonts w:ascii="Times New Roman" w:hAnsi="Times New Roman" w:eastAsia="Times New Roman"/>
        </w:rPr>
        <w:t xml:space="preserve">статьи 30-35 ЖК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Расторгнуть договор аренды при наличии основания.</w:t>
      </w:r>
    </w:p>
    <w:p>
      <w:pPr>
        <w:pStyle w:val="Compact"/>
        <w:numPr>
          <w:ilvl w:val="0"/>
          <w:numId w:val="1002"/>
        </w:numPr>
      </w:pPr>
      <w:r>
        <w:rPr>
          <w:rFonts w:ascii="Times New Roman" w:hAnsi="Times New Roman" w:eastAsia="Times New Roman"/>
        </w:rPr>
        <w:t xml:space="preserve">Выселить ответчика и обязать освободить помещение, передав его по акту в установленный срок.</w:t>
      </w:r>
    </w:p>
    <w:p>
      <w:pPr>
        <w:pStyle w:val="Compact"/>
        <w:numPr>
          <w:ilvl w:val="0"/>
          <w:numId w:val="1002"/>
        </w:numPr>
      </w:pPr>
      <w:r>
        <w:rPr>
          <w:rFonts w:ascii="Times New Roman" w:hAnsi="Times New Roman" w:eastAsia="Times New Roman"/>
        </w:rPr>
        <w:t xml:space="preserve">Взыскать плату за период просрочки возврата и подтвержденные расходы.</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и доказательства владения.</w:t>
      </w:r>
    </w:p>
    <w:p>
      <w:pPr>
        <w:pStyle w:val="Compact"/>
        <w:numPr>
          <w:ilvl w:val="0"/>
          <w:numId w:val="1003"/>
        </w:numPr>
      </w:pPr>
      <w:r>
        <w:rPr>
          <w:rFonts w:ascii="Times New Roman" w:hAnsi="Times New Roman" w:eastAsia="Times New Roman"/>
        </w:rPr>
        <w:t xml:space="preserve">техническая документация и сведения о зарегистрированных лицах.</w:t>
      </w:r>
    </w:p>
    <w:p>
      <w:pPr>
        <w:pStyle w:val="Compact"/>
        <w:numPr>
          <w:ilvl w:val="0"/>
          <w:numId w:val="1003"/>
        </w:numPr>
      </w:pPr>
      <w:r>
        <w:rPr>
          <w:rFonts w:ascii="Times New Roman" w:hAnsi="Times New Roman" w:eastAsia="Times New Roman"/>
        </w:rPr>
        <w:t xml:space="preserve">документы об оплате расходов на содержание объекта.</w:t>
      </w:r>
    </w:p>
    <w:p>
      <w:pPr>
        <w:pStyle w:val="Compact"/>
        <w:numPr>
          <w:ilvl w:val="0"/>
          <w:numId w:val="1003"/>
        </w:numPr>
      </w:pPr>
      <w:r>
        <w:rPr>
          <w:rFonts w:ascii="Times New Roman" w:hAnsi="Times New Roman" w:eastAsia="Times New Roman"/>
        </w:rPr>
        <w:t xml:space="preserve">заключение о возможности раздела или порядке пользования, если применимо.</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2026-07-18T09:18:48Z</dcterms:created>
  <dcterms:modified xsi:type="dcterms:W3CDTF">2026-07-18T09:18:48Z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