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a31323bd91f12850918603405ea745bdfe34fd1"/>
    <w:p>
      <w:pPr>
        <w:pStyle w:val="Heading1"/>
        <w:keepNext/>
      </w:pPr>
      <w:r>
        <w:rPr>
          <w:rFonts w:ascii="Times New Roman" w:hAnsi="Times New Roman" w:eastAsia="Times New Roman"/>
        </w:rPr>
        <w:t xml:space="preserve">128. Исковое заявление о признании права собственности в силу приобретательной давности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владеет объектом открыто, непрерывно и как своим с 2011 года, несет расходы, страхует имущество и не признает владение производным от собственника. В иске раскрываются начало владения, добросовестность и отсутствие перерывов.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887b36799ac0bada6e8ba4dba5bcb6148ceac70"/>
    <w:p>
      <w:pPr>
        <w:pStyle w:val="Heading2"/>
        <w:keepNext/>
      </w:pPr>
      <w:r>
        <w:rPr>
          <w:rFonts w:ascii="Times New Roman" w:hAnsi="Times New Roman" w:eastAsia="Times New Roman"/>
        </w:rPr>
        <w:t xml:space="preserve">ИСКОВОЕ ЗАЯВЛЕНИЕ О ПРИЗНАНИИ ПРАВА СОБСТВЕННОСТИ В СИЛУ ПРИОБРЕТАТЕЛЬНОЙ ДАВНОСТИ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владеет объектом открыто, непрерывно и как своим с 2011 года, несет расходы, страхует имущество и не признает владение производным от собственника. В иске раскрываются начало владения, добросовестность и отсутствие перерывов.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статья 234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собственности на 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Compact"/>
        <w:numPr>
          <w:ilvl w:val="0"/>
          <w:numId w:val="1002"/>
        </w:numPr>
      </w:pPr>
      <w:r>
        <w:rPr>
          <w:rFonts w:ascii="Times New Roman" w:hAnsi="Times New Roman" w:eastAsia="Times New Roman"/>
        </w:rPr>
        <w:t xml:space="preserve">Указать, что вступившее в силу решение является основанием для внесения записи в ЕГРН.</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2026-07-18T09:18:47Z</dcterms:created>
  <dcterms:modified xsi:type="dcterms:W3CDTF">2026-07-18T09:18:47Z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