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e597f5acf57b7de519ab7732201d33c574ee80"/>
    <w:p>
      <w:pPr>
        <w:pStyle w:val="Heading1"/>
        <w:keepNext/>
      </w:pPr>
      <w:r>
        <w:rPr>
          <w:rFonts w:ascii="Times New Roman" w:hAnsi="Times New Roman" w:eastAsia="Times New Roman"/>
        </w:rPr>
        <w:t xml:space="preserve">126. Исковое заявление о признании права собственности на жилой дом</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c6dc4d7296c614e09a507adc3fabb1abf50bbca"/>
    <w:p>
      <w:pPr>
        <w:pStyle w:val="Heading2"/>
        <w:keepNext/>
      </w:pPr>
      <w:r>
        <w:rPr>
          <w:rFonts w:ascii="Times New Roman" w:hAnsi="Times New Roman" w:eastAsia="Times New Roman"/>
        </w:rPr>
        <w:t xml:space="preserve">ИСКОВОЕ ЗАЯВЛЕНИЕ О ПРИЗНАНИИ ПРАВА СОБСТВЕННОСТИ НА ЖИЛОЙ ДОМ</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