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b65cc4cb746f6e38662542ae203f3ec79f7c21c"/>
    <w:p>
      <w:pPr>
        <w:pStyle w:val="Heading1"/>
        <w:keepNext/>
      </w:pPr>
      <w:r>
        <w:rPr>
          <w:rFonts w:ascii="Times New Roman" w:hAnsi="Times New Roman" w:eastAsia="Times New Roman"/>
        </w:rPr>
        <w:t xml:space="preserve">125. Исковое заявление о признании права собственности на квартиру</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56,4 кв. м, кадастровый номер 50:15:0010902:1847.</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63db77665f1f8bb5b2a5421d79cc1e56e68a410"/>
    <w:p>
      <w:pPr>
        <w:pStyle w:val="Heading2"/>
        <w:keepNext/>
      </w:pPr>
      <w:r>
        <w:rPr>
          <w:rFonts w:ascii="Times New Roman" w:hAnsi="Times New Roman" w:eastAsia="Times New Roman"/>
        </w:rPr>
        <w:t xml:space="preserve">ИСКОВОЕ ЗАЯВЛЕНИЕ О ПРИЗНАНИИ ПРАВА СОБСТВЕННОСТИ НА КВАРТИРУ</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квартира площадью 56,4 кв. м, кадастровый номер 50:15:0010902:1847.</w:t>
      </w:r>
    </w:p>
    <w:p>
      <w:pPr>
        <w:pStyle w:val="Compact"/>
        <w:numPr>
          <w:ilvl w:val="0"/>
          <w:numId w:val="1002"/>
        </w:numPr>
      </w:pPr>
      <w:r>
        <w:rPr>
          <w:rFonts w:ascii="Times New Roman" w:hAnsi="Times New Roman" w:eastAsia="Times New Roman"/>
        </w:rPr>
        <w:t xml:space="preserve">Указать, что вступившее в силу решение является основанием для внесения записи в ЕГРН.</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