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165d8194943405294c6ecf35f16b00fdce9d5a2"/>
    <w:p>
      <w:pPr>
        <w:pStyle w:val="Heading1"/>
        <w:keepNext/>
      </w:pPr>
      <w:r>
        <w:rPr>
          <w:rFonts w:ascii="Times New Roman" w:hAnsi="Times New Roman" w:eastAsia="Times New Roman"/>
        </w:rPr>
        <w:t xml:space="preserve">122. Исковое заявление подрядчика о взыскании стоимости выполненных работ</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Заказчик - ООО «ПромИнвест»; подрядчик - ООО «МонолитСтрой»; собственник участка - ООО «ПромИнвест».</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складской комплекс площадью 4 800 кв. м на земельном участке с кадастровым номером 50:20:0040701:938 по адресу: Московская область, Одинцовский городской округ, промзона «Западная».</w:t>
      </w:r>
    </w:p>
    <w:p>
      <w:pPr>
        <w:pStyle w:val="BodyText"/>
      </w:pPr>
      <w:r>
        <w:rPr>
          <w:rFonts w:ascii="Times New Roman" w:hAnsi="Times New Roman" w:eastAsia="Times New Roman"/>
        </w:rPr>
        <w:t xml:space="preserve">Объем работ проверен по исполнительной документации, журналам, актам скрытых работ и фактическому результату. Спорные позиции отделены от бесспорных. Заказчик не вправе удерживать оплату принятого полезного результата только из-за недостатков в другой части работ.</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6684044503326ba400598c75f4f6c39fa1c66b9"/>
    <w:p>
      <w:pPr>
        <w:pStyle w:val="Heading2"/>
        <w:keepNext/>
      </w:pPr>
      <w:r>
        <w:rPr>
          <w:rFonts w:ascii="Times New Roman" w:hAnsi="Times New Roman" w:eastAsia="Times New Roman"/>
        </w:rPr>
        <w:t xml:space="preserve">ИСКОВОЕ ЗАЯВЛЕНИЕ ПОДРЯДЧИКА О ВЗЫСКАНИИ СТОИМОСТИ ВЫПОЛНЕННЫХ РАБОТ</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Объем работ проверен по исполнительной документации, журналам, актам скрытых работ и фактическому результату. Спорные позиции отделены от бесспорных. Заказчик не вправе удерживать оплату принятого полезного результата только из-за недостатков в другой части работ.</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309, 310, 330, 393, 397 и 450 ГК РФ.</w:t>
      </w:r>
    </w:p>
    <w:p>
      <w:pPr>
        <w:pStyle w:val="Compact"/>
        <w:numPr>
          <w:ilvl w:val="0"/>
          <w:numId w:val="1001"/>
        </w:numPr>
      </w:pPr>
      <w:r>
        <w:rPr>
          <w:rFonts w:ascii="Times New Roman" w:hAnsi="Times New Roman" w:eastAsia="Times New Roman"/>
        </w:rPr>
        <w:t xml:space="preserve">статьи 740-757 ГК РФ о строительном подряде.</w:t>
      </w:r>
    </w:p>
    <w:p>
      <w:pPr>
        <w:pStyle w:val="Compact"/>
        <w:numPr>
          <w:ilvl w:val="0"/>
          <w:numId w:val="1001"/>
        </w:numPr>
      </w:pPr>
      <w:r>
        <w:rPr>
          <w:rFonts w:ascii="Times New Roman" w:hAnsi="Times New Roman" w:eastAsia="Times New Roman"/>
        </w:rPr>
        <w:t xml:space="preserve">Градостроительный кодекс РФ.</w:t>
      </w:r>
    </w:p>
    <w:p>
      <w:pPr>
        <w:pStyle w:val="Compact"/>
        <w:numPr>
          <w:ilvl w:val="0"/>
          <w:numId w:val="1001"/>
        </w:numPr>
      </w:pPr>
      <w:r>
        <w:rPr>
          <w:rFonts w:ascii="Times New Roman" w:hAnsi="Times New Roman" w:eastAsia="Times New Roman"/>
        </w:rPr>
        <w:t xml:space="preserve">статьи 743, 746, 753-755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Взыскать с ответчика подтвержденную сумму основного требования согласно приложенному расчету.</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договор подряда, проектная и сметная документация.</w:t>
      </w:r>
    </w:p>
    <w:p>
      <w:pPr>
        <w:pStyle w:val="Compact"/>
        <w:numPr>
          <w:ilvl w:val="0"/>
          <w:numId w:val="1003"/>
        </w:numPr>
      </w:pPr>
      <w:r>
        <w:rPr>
          <w:rFonts w:ascii="Times New Roman" w:hAnsi="Times New Roman" w:eastAsia="Times New Roman"/>
        </w:rPr>
        <w:t xml:space="preserve">календарный график и исполнительная документация.</w:t>
      </w:r>
    </w:p>
    <w:p>
      <w:pPr>
        <w:pStyle w:val="Compact"/>
        <w:numPr>
          <w:ilvl w:val="0"/>
          <w:numId w:val="1003"/>
        </w:numPr>
      </w:pPr>
      <w:r>
        <w:rPr>
          <w:rFonts w:ascii="Times New Roman" w:hAnsi="Times New Roman" w:eastAsia="Times New Roman"/>
        </w:rPr>
        <w:t xml:space="preserve">акты выполненных и скрытых работ.</w:t>
      </w:r>
    </w:p>
    <w:p>
      <w:pPr>
        <w:pStyle w:val="Compact"/>
        <w:numPr>
          <w:ilvl w:val="0"/>
          <w:numId w:val="1003"/>
        </w:numPr>
      </w:pPr>
      <w:r>
        <w:rPr>
          <w:rFonts w:ascii="Times New Roman" w:hAnsi="Times New Roman" w:eastAsia="Times New Roman"/>
        </w:rPr>
        <w:t xml:space="preserve">заключение технического специалиста и расчет стоимости устранения дефектов.</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2026-07-18T09:18:46Z</dcterms:created>
  <dcterms:modified xsi:type="dcterms:W3CDTF">2026-07-18T09:18:46Z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