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d16244530f5a9d492fa20618ebb0d413a6c5e4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116. Договор строительного подряда на объект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X99adf4af07eed99ee8445043325f1dac83189c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СТРОИТЕЛЬНОГО ПОДРЯДА НА ОБЪЕКТ НЕДВИЖИМОСТИ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оект-и-объем-рабо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Проект и объем работ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Работы выполняются по проектной, рабочей и сметной документации из приложений. Дополнительные работы оформляются письменно до выполнения, кроме необходимых аварийных мер.</w:t>
      </w:r>
    </w:p>
    <w:bookmarkEnd w:id="24"/>
    <w:bookmarkStart w:id="25" w:name="цена-и-платеж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платежи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руб., включая налоги и согласованные расходы. Платежи привязаны к этапам и комплекту исполнительной документации.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Оплата не означает отказа от требований по скрытым недостаткам.</w:t>
      </w:r>
    </w:p>
    <w:bookmarkEnd w:id="25"/>
    <w:bookmarkStart w:id="26" w:name="сроки-и-контроль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Сроки и контроль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Сроки определены календарным графиком. Подрядчик ведет журналы, акты скрытых работ и уведомляет о приемке этапов.</w:t>
      </w:r>
    </w:p>
    <w:bookmarkEnd w:id="26"/>
    <w:bookmarkStart w:id="27" w:name="приемка-и-гарант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Приемка и гарантия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Мотивированный отказ содержит конкретные недостатки и сроки устранения.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Гарантийный срок - [срок]. При неустранении заказчик вправе применить предусмотренные законом способы защиты.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