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Xd256b02c21d94c227d8fe719f4960c5070eaeed"/>
    <w:p>
      <w:pPr>
        <w:pStyle w:val="Heading1"/>
        <w:keepNext/>
      </w:pPr>
      <w:r>
        <w:rPr>
          <w:rFonts w:ascii="Times New Roman" w:hAnsi="Times New Roman" w:eastAsia="Times New Roman"/>
        </w:rPr>
        <w:t xml:space="preserve">106. Исковое заявление о взыскании стоимости устранения строительных недостатков</w:t>
      </w:r>
    </w:p>
    <w:p>
      <w:pPr>
        <w:pStyle w:val="FirstParagraph"/>
      </w:pPr>
      <w:r>
        <w:rPr>
          <w:rFonts w:ascii="Times New Roman" w:hAnsi="Times New Roman" w:eastAsia="Times New Roman"/>
          <w:b/>
          <w:bCs/>
        </w:rPr>
        <w:t xml:space="preserve">Юридическая фирма «Зотова и партнеры»</w:t>
      </w:r>
      <w:r>
        <w:rPr>
          <w:rFonts w:ascii="Times New Roman" w:hAnsi="Times New Roman" w:eastAsia="Times New Roman"/>
        </w:rPr>
        <w:t xml:space="preserve"> </w:t>
      </w:r>
      <w:r>
        <w:rPr>
          <w:rFonts w:ascii="Times New Roman" w:hAnsi="Times New Roman" w:eastAsia="Times New Roman"/>
        </w:rPr>
        <w:t xml:space="preserve">zotowa.ru | образец документа | редакция 18.07.2026</w:t>
      </w:r>
    </w:p>
    <w:p>
      <w:pPr>
        <w:pStyle w:val="BlockText"/>
      </w:pPr>
      <w:r>
        <w:rPr>
          <w:rFonts w:ascii="Times New Roman" w:hAnsi="Times New Roman" w:eastAsia="Times New Roman"/>
        </w:rPr>
        <w:t xml:space="preserve">Важно: это модельный образец с вымышленными обстоятельствами. Перед использованием необходимо заменить сведения о сторонах и объекте, проверить подсудность, сроки, обязательную форму, государственную пошлину и актуальную редакцию законодательства.</w:t>
      </w:r>
    </w:p>
    <w:bookmarkStart w:id="20" w:name="когда-применяется"/>
    <w:p>
      <w:pPr>
        <w:pStyle w:val="Heading2"/>
        <w:keepNext/>
      </w:pPr>
      <w:r>
        <w:rPr>
          <w:rFonts w:ascii="Times New Roman" w:hAnsi="Times New Roman" w:eastAsia="Times New Roman"/>
        </w:rPr>
        <w:t xml:space="preserve">Когда применяется</w:t>
      </w:r>
    </w:p>
    <w:p>
      <w:pPr>
        <w:pStyle w:val="FirstParagraph"/>
      </w:pPr>
      <w:r>
        <w:rPr>
          <w:rFonts w:ascii="Times New Roman" w:hAnsi="Times New Roman" w:eastAsia="Times New Roman"/>
        </w:rPr>
        <w:t xml:space="preserve">Подается после определения надлежащего способа защиты, подсудности, состава лиц и доказательств. Модельная фабула показывает структуру иска, но фактические обстоятельства, требования, цену и госпошлину необходимо полностью адаптировать.</w:t>
      </w:r>
    </w:p>
    <w:bookmarkEnd w:id="20"/>
    <w:bookmarkStart w:id="21" w:name="модельная-ситуация"/>
    <w:p>
      <w:pPr>
        <w:pStyle w:val="Heading2"/>
        <w:keepNext/>
      </w:pPr>
      <w:r>
        <w:rPr>
          <w:rFonts w:ascii="Times New Roman" w:hAnsi="Times New Roman" w:eastAsia="Times New Roman"/>
        </w:rPr>
        <w:t xml:space="preserve">Модельная ситуация</w:t>
      </w:r>
    </w:p>
    <w:p>
      <w:pPr>
        <w:pStyle w:val="FirstParagraph"/>
      </w:pPr>
      <w:r>
        <w:rPr>
          <w:rFonts w:ascii="Times New Roman" w:hAnsi="Times New Roman" w:eastAsia="Times New Roman"/>
          <w:b/>
          <w:bCs/>
        </w:rPr>
        <w:t xml:space="preserve">Участники:</w:t>
      </w:r>
      <w:r>
        <w:rPr>
          <w:rFonts w:ascii="Times New Roman" w:hAnsi="Times New Roman" w:eastAsia="Times New Roman"/>
        </w:rPr>
        <w:t xml:space="preserve"> </w:t>
      </w:r>
      <w:r>
        <w:rPr>
          <w:rFonts w:ascii="Times New Roman" w:hAnsi="Times New Roman" w:eastAsia="Times New Roman"/>
        </w:rPr>
        <w:t xml:space="preserve">Участник строительства - Орлова Наталья Андреевна; застройщик - ООО СЗ «Новый квартал».</w:t>
      </w:r>
      <w:r>
        <w:rPr>
          <w:rFonts w:ascii="Times New Roman" w:hAnsi="Times New Roman" w:eastAsia="Times New Roman"/>
        </w:rPr>
        <w:t xml:space="preserve"> </w:t>
      </w:r>
      <w:r>
        <w:rPr>
          <w:rFonts w:ascii="Times New Roman" w:hAnsi="Times New Roman" w:eastAsia="Times New Roman"/>
          <w:b/>
          <w:bCs/>
        </w:rPr>
        <w:t xml:space="preserve">Объект:</w:t>
      </w:r>
      <w:r>
        <w:rPr>
          <w:rFonts w:ascii="Times New Roman" w:hAnsi="Times New Roman" w:eastAsia="Times New Roman"/>
        </w:rPr>
        <w:t xml:space="preserve"> </w:t>
      </w:r>
      <w:r>
        <w:rPr>
          <w:rFonts w:ascii="Times New Roman" w:hAnsi="Times New Roman" w:eastAsia="Times New Roman"/>
        </w:rPr>
        <w:t xml:space="preserve">квартира проектной площадью 63,2 кв. м в корпусе 3 жилого комплекса «Парк», условный номер 3-14-87, будущий адрес: Московская область, г. Балашиха, мкр. Новое Павлино.</w:t>
      </w:r>
    </w:p>
    <w:p>
      <w:pPr>
        <w:pStyle w:val="BodyText"/>
      </w:pPr>
      <w:r>
        <w:rPr>
          <w:rFonts w:ascii="Times New Roman" w:hAnsi="Times New Roman" w:eastAsia="Times New Roman"/>
        </w:rPr>
        <w:t xml:space="preserve">Недостатки зафиксированы актом с фотографиями, измерениями и привязкой к помещениям. Установлен разумный срок устранения. При споре о причинах и стоимости предусмотрено независимое обследование или судебная строительно-техническая экспертиза.</w:t>
      </w:r>
    </w:p>
    <w:bookmarkEnd w:id="21"/>
    <w:bookmarkStart w:id="22" w:name="текст-документа"/>
    <w:p>
      <w:pPr>
        <w:pStyle w:val="Heading2"/>
        <w:keepNext/>
      </w:pPr>
      <w:r>
        <w:rPr>
          <w:rFonts w:ascii="Times New Roman" w:hAnsi="Times New Roman" w:eastAsia="Times New Roman"/>
        </w:rPr>
        <w:t xml:space="preserve">Текст документа</w:t>
      </w:r>
    </w:p>
    <w:p>
      <w:pPr>
        <w:pStyle w:val="FirstParagraph"/>
      </w:pPr>
      <w:r>
        <w:rPr>
          <w:rFonts w:ascii="Times New Roman" w:hAnsi="Times New Roman" w:eastAsia="Times New Roman"/>
        </w:rPr>
        <w:t xml:space="preserve">В [наименование районного суда]</w:t>
      </w:r>
    </w:p>
    <w:p>
      <w:pPr>
        <w:pStyle w:val="BodyText"/>
      </w:pPr>
      <w:r>
        <w:rPr>
          <w:rFonts w:ascii="Times New Roman" w:hAnsi="Times New Roman" w:eastAsia="Times New Roman"/>
        </w:rPr>
        <w:t xml:space="preserve">Истец / административный истец: [ФИО, дата и место рождения, адрес, идентификатор, телефон, e-mail]</w:t>
      </w:r>
      <w:r>
        <w:rPr>
          <w:rFonts w:ascii="Times New Roman" w:hAnsi="Times New Roman" w:eastAsia="Times New Roman"/>
        </w:rPr>
        <w:t xml:space="preserve"> </w:t>
      </w:r>
      <w:r>
        <w:rPr>
          <w:rFonts w:ascii="Times New Roman" w:hAnsi="Times New Roman" w:eastAsia="Times New Roman"/>
        </w:rPr>
        <w:t xml:space="preserve">Ответчик / административный ответчик: [ФИО или наименование, адрес, известные идентификаторы]</w:t>
      </w:r>
      <w:r>
        <w:rPr>
          <w:rFonts w:ascii="Times New Roman" w:hAnsi="Times New Roman" w:eastAsia="Times New Roman"/>
        </w:rPr>
        <w:t xml:space="preserve"> </w:t>
      </w:r>
      <w:r>
        <w:rPr>
          <w:rFonts w:ascii="Times New Roman" w:hAnsi="Times New Roman" w:eastAsia="Times New Roman"/>
        </w:rPr>
        <w:t xml:space="preserve">Третьи лица: [Управление Росреестра, орган местного самоуправления, иные лица]</w:t>
      </w:r>
      <w:r>
        <w:rPr>
          <w:rFonts w:ascii="Times New Roman" w:hAnsi="Times New Roman" w:eastAsia="Times New Roman"/>
        </w:rPr>
        <w:t xml:space="preserve"> </w:t>
      </w:r>
      <w:r>
        <w:rPr>
          <w:rFonts w:ascii="Times New Roman" w:hAnsi="Times New Roman" w:eastAsia="Times New Roman"/>
        </w:rPr>
        <w:t xml:space="preserve">Цена иска: [сумма, если требование подлежит оценке]</w:t>
      </w:r>
      <w:r>
        <w:rPr>
          <w:rFonts w:ascii="Times New Roman" w:hAnsi="Times New Roman" w:eastAsia="Times New Roman"/>
        </w:rPr>
        <w:t xml:space="preserve"> </w:t>
      </w:r>
      <w:r>
        <w:rPr>
          <w:rFonts w:ascii="Times New Roman" w:hAnsi="Times New Roman" w:eastAsia="Times New Roman"/>
        </w:rPr>
        <w:t xml:space="preserve">Государственная пошлина: [проверить и указать на дату подачи]</w:t>
      </w:r>
    </w:p>
    <w:bookmarkEnd w:id="22"/>
    <w:bookmarkStart w:id="27" w:name="Xad9d3faedd4790a3a7f95086cf989ef3f10880b"/>
    <w:p>
      <w:pPr>
        <w:pStyle w:val="Heading2"/>
        <w:keepNext/>
      </w:pPr>
      <w:r>
        <w:rPr>
          <w:rFonts w:ascii="Times New Roman" w:hAnsi="Times New Roman" w:eastAsia="Times New Roman"/>
        </w:rPr>
        <w:t xml:space="preserve">ИСКОВОЕ ЗАЯВЛЕНИЕ О ВЗЫСКАНИИ СТОИМОСТИ УСТРАНЕНИЯ СТРОИТЕЛЬНЫХ НЕДОСТАТКОВ</w:t>
      </w:r>
    </w:p>
    <w:bookmarkStart w:id="23" w:name="обстоятельства-дела"/>
    <w:p>
      <w:pPr>
        <w:pStyle w:val="Heading3"/>
        <w:keepNext/>
      </w:pPr>
      <w:r>
        <w:rPr>
          <w:rFonts w:ascii="Times New Roman" w:hAnsi="Times New Roman" w:eastAsia="Times New Roman"/>
        </w:rPr>
        <w:t xml:space="preserve">Обстоятельства дела</w:t>
      </w:r>
    </w:p>
    <w:p>
      <w:pPr>
        <w:pStyle w:val="FirstParagraph"/>
      </w:pPr>
      <w:r>
        <w:rPr>
          <w:rFonts w:ascii="Times New Roman" w:hAnsi="Times New Roman" w:eastAsia="Times New Roman"/>
        </w:rPr>
        <w:t xml:space="preserve">Недостатки зафиксированы актом с фотографиями, измерениями и привязкой к помещениям. Установлен разумный срок устранения. При споре о причинах и стоимости предусмотрено независимое обследование или судебная строительно-техническая экспертиза.</w:t>
      </w:r>
      <w:r>
        <w:rPr>
          <w:rFonts w:ascii="Times New Roman" w:hAnsi="Times New Roman" w:eastAsia="Times New Roman"/>
        </w:rPr>
        <w:t xml:space="preserve"> </w:t>
      </w:r>
      <w:r>
        <w:rPr>
          <w:rFonts w:ascii="Times New Roman" w:hAnsi="Times New Roman" w:eastAsia="Times New Roman"/>
        </w:rPr>
        <w:t xml:space="preserve">Истец до обращения в суд собрал документы, подтверждающие право на объект, спорное действие ответчика, наступившие последствия и выбранный способ защиты. Хронология изложена по датам, а каждое существенное утверждение связано с конкретным приложением.</w:t>
      </w:r>
    </w:p>
    <w:p>
      <w:pPr>
        <w:pStyle w:val="BodyText"/>
      </w:pPr>
      <w:r>
        <w:rPr>
          <w:rFonts w:ascii="Times New Roman" w:hAnsi="Times New Roman" w:eastAsia="Times New Roman"/>
        </w:rPr>
        <w:t xml:space="preserve">Досудебное требование от [дата] направлено ответчику [способ]. Оно получено [дата], что подтверждается [доказательство]. Ответчик отказал, не ответил либо частично исполнил требование. Если для данного вида спора досудебный порядок не обязателен, переписка приводится как доказательство осведомленности и позиции сторон.</w:t>
      </w:r>
    </w:p>
    <w:bookmarkEnd w:id="23"/>
    <w:bookmarkStart w:id="24" w:name="правовая-позиция"/>
    <w:p>
      <w:pPr>
        <w:pStyle w:val="Heading3"/>
        <w:keepNext/>
      </w:pPr>
      <w:r>
        <w:rPr>
          <w:rFonts w:ascii="Times New Roman" w:hAnsi="Times New Roman" w:eastAsia="Times New Roman"/>
        </w:rPr>
        <w:t xml:space="preserve">Правовая позиция</w:t>
      </w:r>
    </w:p>
    <w:p>
      <w:pPr>
        <w:pStyle w:val="Compact"/>
        <w:numPr>
          <w:ilvl w:val="0"/>
          <w:numId w:val="1001"/>
        </w:numPr>
      </w:pPr>
      <w:r>
        <w:rPr>
          <w:rFonts w:ascii="Times New Roman" w:hAnsi="Times New Roman" w:eastAsia="Times New Roman"/>
        </w:rPr>
        <w:t xml:space="preserve">статьи 4, 6, 7, 8 и 9 Федерального закона от 30.12.2004 № 214-ФЗ.</w:t>
      </w:r>
    </w:p>
    <w:p>
      <w:pPr>
        <w:pStyle w:val="Compact"/>
        <w:numPr>
          <w:ilvl w:val="0"/>
          <w:numId w:val="1001"/>
        </w:numPr>
      </w:pPr>
      <w:r>
        <w:rPr>
          <w:rFonts w:ascii="Times New Roman" w:hAnsi="Times New Roman" w:eastAsia="Times New Roman"/>
        </w:rPr>
        <w:t xml:space="preserve">статьи 15, 309, 310, 393 и 395 ГК РФ.</w:t>
      </w:r>
    </w:p>
    <w:p>
      <w:pPr>
        <w:pStyle w:val="Compact"/>
        <w:numPr>
          <w:ilvl w:val="0"/>
          <w:numId w:val="1001"/>
        </w:numPr>
      </w:pPr>
      <w:r>
        <w:rPr>
          <w:rFonts w:ascii="Times New Roman" w:hAnsi="Times New Roman" w:eastAsia="Times New Roman"/>
        </w:rPr>
        <w:t xml:space="preserve">Закон РФ от 07.02.1992 № 2300-1 «О защите прав потребителей» в применимой части.</w:t>
      </w:r>
    </w:p>
    <w:p>
      <w:pPr>
        <w:pStyle w:val="Compact"/>
        <w:numPr>
          <w:ilvl w:val="0"/>
          <w:numId w:val="1001"/>
        </w:numPr>
      </w:pPr>
      <w:r>
        <w:rPr>
          <w:rFonts w:ascii="Times New Roman" w:hAnsi="Times New Roman" w:eastAsia="Times New Roman"/>
        </w:rPr>
        <w:t xml:space="preserve">требования к форме, подсудности и приложениям по ГПК РФ, АПК РФ или КАС РФ.</w:t>
      </w:r>
    </w:p>
    <w:p>
      <w:pPr>
        <w:pStyle w:val="FirstParagraph"/>
      </w:pPr>
      <w:r>
        <w:rPr>
          <w:rFonts w:ascii="Times New Roman" w:hAnsi="Times New Roman" w:eastAsia="Times New Roman"/>
        </w:rPr>
        <w:t xml:space="preserve">Выбранный способ защиты непосредственно направлен на восстановление нарушенного права. Он соответствует характеру спорного материального отношения и может быть исполнен: объект индивидуализирован, действие ответчика описано, регистрационные последствия сформулированы отдельно.</w:t>
      </w:r>
    </w:p>
    <w:p>
      <w:pPr>
        <w:pStyle w:val="BodyText"/>
      </w:pPr>
      <w:r>
        <w:rPr>
          <w:rFonts w:ascii="Times New Roman" w:hAnsi="Times New Roman" w:eastAsia="Times New Roman"/>
        </w:rPr>
        <w:t xml:space="preserve">Истец подтверждает факты, на которые ссылается. Ответчик обязан доказать основания своих возражений, включая исполнение, наличие полномочий, согласий, добросовестность, правомерность удержания объекта или соблюдение административной процедуры. Отсутствие одного документа не подменяется предположением, а оценивается в совокупности с поведением сторон, официальными записями и иными доказательствами.</w:t>
      </w:r>
    </w:p>
    <w:bookmarkEnd w:id="24"/>
    <w:bookmarkStart w:id="25" w:name="X2a83432bdeb3525297b503b1bf1c1b6beeb18e6"/>
    <w:p>
      <w:pPr>
        <w:pStyle w:val="Heading3"/>
        <w:keepNext/>
      </w:pPr>
      <w:r>
        <w:rPr>
          <w:rFonts w:ascii="Times New Roman" w:hAnsi="Times New Roman" w:eastAsia="Times New Roman"/>
        </w:rPr>
        <w:t xml:space="preserve">Подсудность, срок и государственная пошлина</w:t>
      </w:r>
    </w:p>
    <w:p>
      <w:pPr>
        <w:pStyle w:val="FirstParagraph"/>
      </w:pPr>
      <w:r>
        <w:rPr>
          <w:rFonts w:ascii="Times New Roman" w:hAnsi="Times New Roman" w:eastAsia="Times New Roman"/>
        </w:rPr>
        <w:t xml:space="preserve">Подсудность определяется по характеру спора и статусу участников. Иски о правах на недвижимость, как правило, предъявляются с учетом правил исключительной территориальной подсудности по месту нахождения объекта. Для требований к публичному органу проверяются правила КАС РФ или главы 24 АПК РФ.</w:t>
      </w:r>
    </w:p>
    <w:p>
      <w:pPr>
        <w:pStyle w:val="BodyText"/>
      </w:pPr>
      <w:r>
        <w:rPr>
          <w:rFonts w:ascii="Times New Roman" w:hAnsi="Times New Roman" w:eastAsia="Times New Roman"/>
        </w:rPr>
        <w:t xml:space="preserve">Срок исковой давности или срок административного оспаривания исчисляется с даты, когда истец узнал или должен был узнать о нарушении и надлежащем ответчике. В тексте указываются событие начала течения срока и доказательство этой даты. Государственная пошлина рассчитывается непосредственно перед подачей с учетом цены иска, характера требований, статуса заявителя и действующих льгот.</w:t>
      </w:r>
    </w:p>
    <w:bookmarkEnd w:id="25"/>
    <w:bookmarkStart w:id="26" w:name="прошу-суд"/>
    <w:p>
      <w:pPr>
        <w:pStyle w:val="Heading3"/>
        <w:keepNext/>
      </w:pPr>
      <w:r>
        <w:rPr>
          <w:rFonts w:ascii="Times New Roman" w:hAnsi="Times New Roman" w:eastAsia="Times New Roman"/>
        </w:rPr>
        <w:t xml:space="preserve">ПРОШУ СУД:</w:t>
      </w:r>
    </w:p>
    <w:p>
      <w:pPr>
        <w:pStyle w:val="Compact"/>
        <w:numPr>
          <w:ilvl w:val="0"/>
          <w:numId w:val="1002"/>
        </w:numPr>
      </w:pPr>
      <w:r>
        <w:rPr>
          <w:rFonts w:ascii="Times New Roman" w:hAnsi="Times New Roman" w:eastAsia="Times New Roman"/>
        </w:rPr>
        <w:t xml:space="preserve">Взыскать разумную стоимость устранения подтвержденных строительных недостатков.</w:t>
      </w:r>
    </w:p>
    <w:p>
      <w:pPr>
        <w:pStyle w:val="Compact"/>
        <w:numPr>
          <w:ilvl w:val="0"/>
          <w:numId w:val="1002"/>
        </w:numPr>
      </w:pPr>
      <w:r>
        <w:rPr>
          <w:rFonts w:ascii="Times New Roman" w:hAnsi="Times New Roman" w:eastAsia="Times New Roman"/>
        </w:rPr>
        <w:t xml:space="preserve">Взыскать расходы на обследование и иные необходимые затраты.</w:t>
      </w:r>
    </w:p>
    <w:p>
      <w:pPr>
        <w:pStyle w:val="Compact"/>
        <w:numPr>
          <w:ilvl w:val="0"/>
          <w:numId w:val="1002"/>
        </w:numPr>
      </w:pPr>
      <w:r>
        <w:rPr>
          <w:rFonts w:ascii="Times New Roman" w:hAnsi="Times New Roman" w:eastAsia="Times New Roman"/>
        </w:rPr>
        <w:t xml:space="preserve">Взыскать с ответчика судебные расходы, подтвержденные документально и отвечающие критерию разумности.</w:t>
      </w:r>
    </w:p>
    <w:bookmarkEnd w:id="26"/>
    <w:bookmarkEnd w:id="27"/>
    <w:bookmarkStart w:id="28" w:name="X4d542380d78cb2a01471ebb0f5a0c1b6831dc04"/>
    <w:p>
      <w:pPr>
        <w:pStyle w:val="Heading2"/>
        <w:keepNext/>
      </w:pPr>
      <w:r>
        <w:rPr>
          <w:rFonts w:ascii="Times New Roman" w:hAnsi="Times New Roman" w:eastAsia="Times New Roman"/>
        </w:rPr>
        <w:t xml:space="preserve">Доказательства и связь с обстоятельствами</w:t>
      </w:r>
    </w:p>
    <w:p>
      <w:pPr>
        <w:pStyle w:val="FirstParagraph"/>
      </w:pPr>
      <w:r>
        <w:rPr>
          <w:rFonts w:ascii="Times New Roman" w:hAnsi="Times New Roman" w:eastAsia="Times New Roman"/>
        </w:rPr>
        <w:t xml:space="preserve">Документы следует расположить в хронологическом порядке и пронумеровать. В тексте рекомендуется указывать номер приложения рядом с соответствующим фактом. Для электронных доказательств сохраняются исходные файлы, заголовки писем, сведения об отправителе и доставке, а для переписки в мессенджере - данные аккаунта, дата и способ получения.</w:t>
      </w:r>
    </w:p>
    <w:p>
      <w:pPr>
        <w:pStyle w:val="BodyText"/>
      </w:pPr>
      <w:r>
        <w:rPr>
          <w:rFonts w:ascii="Times New Roman" w:hAnsi="Times New Roman" w:eastAsia="Times New Roman"/>
        </w:rPr>
        <w:t xml:space="preserve">Если подлинность документа оспаривается, необходимо представить оригинал либо объяснить его местонахождение, заявить об истребовании и при необходимости поставить вопрос об экспертизе. Отчет оценщика или заключение специалиста не заменяют судебную экспертизу, но могут обосновывать требование, цену и необходимость исследования.</w:t>
      </w:r>
    </w:p>
    <w:bookmarkEnd w:id="28"/>
    <w:bookmarkStart w:id="29" w:name="приложения"/>
    <w:p>
      <w:pPr>
        <w:pStyle w:val="Heading2"/>
        <w:keepNext/>
      </w:pPr>
      <w:r>
        <w:rPr>
          <w:rFonts w:ascii="Times New Roman" w:hAnsi="Times New Roman" w:eastAsia="Times New Roman"/>
        </w:rPr>
        <w:t xml:space="preserve">Приложения</w:t>
      </w:r>
    </w:p>
    <w:p>
      <w:pPr>
        <w:pStyle w:val="Compact"/>
        <w:numPr>
          <w:ilvl w:val="0"/>
          <w:numId w:val="1003"/>
        </w:numPr>
      </w:pPr>
      <w:r>
        <w:rPr>
          <w:rFonts w:ascii="Times New Roman" w:hAnsi="Times New Roman" w:eastAsia="Times New Roman"/>
        </w:rPr>
        <w:t xml:space="preserve">документ, подтверждающий полномочия подписанта или представителя.</w:t>
      </w:r>
    </w:p>
    <w:p>
      <w:pPr>
        <w:pStyle w:val="Compact"/>
        <w:numPr>
          <w:ilvl w:val="0"/>
          <w:numId w:val="1003"/>
        </w:numPr>
      </w:pPr>
      <w:r>
        <w:rPr>
          <w:rFonts w:ascii="Times New Roman" w:hAnsi="Times New Roman" w:eastAsia="Times New Roman"/>
        </w:rPr>
        <w:t xml:space="preserve">актуальная выписка ЕГРН и документ-основание права.</w:t>
      </w:r>
    </w:p>
    <w:p>
      <w:pPr>
        <w:pStyle w:val="Compact"/>
        <w:numPr>
          <w:ilvl w:val="0"/>
          <w:numId w:val="1003"/>
        </w:numPr>
      </w:pPr>
      <w:r>
        <w:rPr>
          <w:rFonts w:ascii="Times New Roman" w:hAnsi="Times New Roman" w:eastAsia="Times New Roman"/>
        </w:rPr>
        <w:t xml:space="preserve">документы, подтверждающие изложенные факты и расчеты.</w:t>
      </w:r>
    </w:p>
    <w:p>
      <w:pPr>
        <w:pStyle w:val="Compact"/>
        <w:numPr>
          <w:ilvl w:val="0"/>
          <w:numId w:val="1003"/>
        </w:numPr>
      </w:pPr>
      <w:r>
        <w:rPr>
          <w:rFonts w:ascii="Times New Roman" w:hAnsi="Times New Roman" w:eastAsia="Times New Roman"/>
        </w:rPr>
        <w:t xml:space="preserve">доказательства направления документа и его вручения адресату.</w:t>
      </w:r>
    </w:p>
    <w:p>
      <w:pPr>
        <w:pStyle w:val="Compact"/>
        <w:numPr>
          <w:ilvl w:val="0"/>
          <w:numId w:val="1003"/>
        </w:numPr>
      </w:pPr>
      <w:r>
        <w:rPr>
          <w:rFonts w:ascii="Times New Roman" w:hAnsi="Times New Roman" w:eastAsia="Times New Roman"/>
        </w:rPr>
        <w:t xml:space="preserve">копии иска и приложений для участников либо доказательства их направления.</w:t>
      </w:r>
    </w:p>
    <w:p>
      <w:pPr>
        <w:pStyle w:val="Compact"/>
        <w:numPr>
          <w:ilvl w:val="0"/>
          <w:numId w:val="1003"/>
        </w:numPr>
      </w:pPr>
      <w:r>
        <w:rPr>
          <w:rFonts w:ascii="Times New Roman" w:hAnsi="Times New Roman" w:eastAsia="Times New Roman"/>
        </w:rPr>
        <w:t xml:space="preserve">документ об уплате государственной пошлины или ходатайство о льготе, отсрочке или рассрочке.</w:t>
      </w:r>
    </w:p>
    <w:p>
      <w:pPr>
        <w:pStyle w:val="Compact"/>
        <w:numPr>
          <w:ilvl w:val="0"/>
          <w:numId w:val="1003"/>
        </w:numPr>
      </w:pPr>
      <w:r>
        <w:rPr>
          <w:rFonts w:ascii="Times New Roman" w:hAnsi="Times New Roman" w:eastAsia="Times New Roman"/>
        </w:rPr>
        <w:t xml:space="preserve">документы о соблюдении досудебного порядка, если он обязателен.</w:t>
      </w:r>
    </w:p>
    <w:p>
      <w:pPr>
        <w:pStyle w:val="Compact"/>
        <w:numPr>
          <w:ilvl w:val="0"/>
          <w:numId w:val="1003"/>
        </w:numPr>
      </w:pPr>
      <w:r>
        <w:rPr>
          <w:rFonts w:ascii="Times New Roman" w:hAnsi="Times New Roman" w:eastAsia="Times New Roman"/>
        </w:rPr>
        <w:t xml:space="preserve">отчет оценщика, заключение специалиста или ходатайство об экспертизе при необходимости.</w:t>
      </w:r>
    </w:p>
    <w:p>
      <w:pPr>
        <w:pStyle w:val="Compact"/>
        <w:numPr>
          <w:ilvl w:val="0"/>
          <w:numId w:val="1003"/>
        </w:numPr>
      </w:pPr>
      <w:r>
        <w:rPr>
          <w:rFonts w:ascii="Times New Roman" w:hAnsi="Times New Roman" w:eastAsia="Times New Roman"/>
        </w:rPr>
        <w:t xml:space="preserve">зарегистрированный ДДУ и подтверждение оплаты через счет эскроу.</w:t>
      </w:r>
    </w:p>
    <w:p>
      <w:pPr>
        <w:pStyle w:val="Compact"/>
        <w:numPr>
          <w:ilvl w:val="0"/>
          <w:numId w:val="1003"/>
        </w:numPr>
      </w:pPr>
      <w:r>
        <w:rPr>
          <w:rFonts w:ascii="Times New Roman" w:hAnsi="Times New Roman" w:eastAsia="Times New Roman"/>
        </w:rPr>
        <w:t xml:space="preserve">переписка о приемке и передаче.</w:t>
      </w:r>
    </w:p>
    <w:p>
      <w:pPr>
        <w:pStyle w:val="Compact"/>
        <w:numPr>
          <w:ilvl w:val="0"/>
          <w:numId w:val="1003"/>
        </w:numPr>
      </w:pPr>
      <w:r>
        <w:rPr>
          <w:rFonts w:ascii="Times New Roman" w:hAnsi="Times New Roman" w:eastAsia="Times New Roman"/>
        </w:rPr>
        <w:t xml:space="preserve">акт осмотра, фотографии и заключение специалиста.</w:t>
      </w:r>
    </w:p>
    <w:p>
      <w:pPr>
        <w:pStyle w:val="Compact"/>
        <w:numPr>
          <w:ilvl w:val="0"/>
          <w:numId w:val="1003"/>
        </w:numPr>
      </w:pPr>
      <w:r>
        <w:rPr>
          <w:rFonts w:ascii="Times New Roman" w:hAnsi="Times New Roman" w:eastAsia="Times New Roman"/>
        </w:rPr>
        <w:t xml:space="preserve">расчет неустойки с указанием применимых специальных правил.</w:t>
      </w:r>
    </w:p>
    <w:bookmarkEnd w:id="29"/>
    <w:bookmarkStart w:id="30" w:name="что-заменить-перед-использованием"/>
    <w:p>
      <w:pPr>
        <w:pStyle w:val="Heading2"/>
        <w:keepNext/>
      </w:pPr>
      <w:r>
        <w:rPr>
          <w:rFonts w:ascii="Times New Roman" w:hAnsi="Times New Roman" w:eastAsia="Times New Roman"/>
        </w:rPr>
        <w:t xml:space="preserve">Что заменить перед использованием</w:t>
      </w:r>
    </w:p>
    <w:p>
      <w:pPr>
        <w:pStyle w:val="Compact"/>
        <w:numPr>
          <w:ilvl w:val="0"/>
          <w:numId w:val="1004"/>
        </w:numPr>
      </w:pPr>
      <w:r>
        <w:rPr>
          <w:rFonts w:ascii="Times New Roman" w:hAnsi="Times New Roman" w:eastAsia="Times New Roman"/>
        </w:rPr>
        <w:t xml:space="preserve">Наименование адресата, суда и состав участников.</w:t>
      </w:r>
    </w:p>
    <w:p>
      <w:pPr>
        <w:pStyle w:val="Compact"/>
        <w:numPr>
          <w:ilvl w:val="0"/>
          <w:numId w:val="1004"/>
        </w:numPr>
      </w:pPr>
      <w:r>
        <w:rPr>
          <w:rFonts w:ascii="Times New Roman" w:hAnsi="Times New Roman" w:eastAsia="Times New Roman"/>
        </w:rPr>
        <w:t xml:space="preserve">ФИО, идентификаторы, адреса, банковские и корпоративные реквизиты.</w:t>
      </w:r>
    </w:p>
    <w:p>
      <w:pPr>
        <w:pStyle w:val="Compact"/>
        <w:numPr>
          <w:ilvl w:val="0"/>
          <w:numId w:val="1004"/>
        </w:numPr>
      </w:pPr>
      <w:r>
        <w:rPr>
          <w:rFonts w:ascii="Times New Roman" w:hAnsi="Times New Roman" w:eastAsia="Times New Roman"/>
        </w:rPr>
        <w:t xml:space="preserve">Точное описание объекта по актуальной выписке ЕГРН.</w:t>
      </w:r>
    </w:p>
    <w:p>
      <w:pPr>
        <w:pStyle w:val="Compact"/>
        <w:numPr>
          <w:ilvl w:val="0"/>
          <w:numId w:val="1004"/>
        </w:numPr>
      </w:pPr>
      <w:r>
        <w:rPr>
          <w:rFonts w:ascii="Times New Roman" w:hAnsi="Times New Roman" w:eastAsia="Times New Roman"/>
        </w:rPr>
        <w:t xml:space="preserve">Даты, номера договоров, суммы, периоды и формулы расчетов.</w:t>
      </w:r>
    </w:p>
    <w:p>
      <w:pPr>
        <w:pStyle w:val="Compact"/>
        <w:numPr>
          <w:ilvl w:val="0"/>
          <w:numId w:val="1004"/>
        </w:numPr>
      </w:pPr>
      <w:r>
        <w:rPr>
          <w:rFonts w:ascii="Times New Roman" w:hAnsi="Times New Roman" w:eastAsia="Times New Roman"/>
        </w:rPr>
        <w:t xml:space="preserve">Фактическую хронологию и ссылки на приложения.</w:t>
      </w:r>
    </w:p>
    <w:p>
      <w:pPr>
        <w:pStyle w:val="Compact"/>
        <w:numPr>
          <w:ilvl w:val="0"/>
          <w:numId w:val="1004"/>
        </w:numPr>
      </w:pPr>
      <w:r>
        <w:rPr>
          <w:rFonts w:ascii="Times New Roman" w:hAnsi="Times New Roman" w:eastAsia="Times New Roman"/>
        </w:rPr>
        <w:t xml:space="preserve">Правовые нормы и судебную практику, актуальные на дату использования.</w:t>
      </w:r>
    </w:p>
    <w:p>
      <w:pPr>
        <w:pStyle w:val="Compact"/>
        <w:numPr>
          <w:ilvl w:val="0"/>
          <w:numId w:val="1004"/>
        </w:numPr>
      </w:pPr>
      <w:r>
        <w:rPr>
          <w:rFonts w:ascii="Times New Roman" w:hAnsi="Times New Roman" w:eastAsia="Times New Roman"/>
        </w:rPr>
        <w:t xml:space="preserve">Просительную часть, чтобы она точно соответствовала выбранному способу защиты.</w:t>
      </w:r>
    </w:p>
    <w:bookmarkEnd w:id="30"/>
    <w:bookmarkStart w:id="31" w:name="процессуальные-и-договорные-риски"/>
    <w:p>
      <w:pPr>
        <w:pStyle w:val="Heading2"/>
        <w:keepNext/>
      </w:pPr>
      <w:r>
        <w:rPr>
          <w:rFonts w:ascii="Times New Roman" w:hAnsi="Times New Roman" w:eastAsia="Times New Roman"/>
        </w:rPr>
        <w:t xml:space="preserve">Процессуальные и договорные риски</w:t>
      </w:r>
    </w:p>
    <w:p>
      <w:pPr>
        <w:pStyle w:val="Compact"/>
        <w:numPr>
          <w:ilvl w:val="0"/>
          <w:numId w:val="1005"/>
        </w:numPr>
      </w:pPr>
      <w:r>
        <w:rPr>
          <w:rFonts w:ascii="Times New Roman" w:hAnsi="Times New Roman" w:eastAsia="Times New Roman"/>
        </w:rPr>
        <w:t xml:space="preserve">Ненадлежащий способ защиты: суд может отказать, даже если нарушение существует, когда заявлен неисполнимый или не восстанавливающий право способ.</w:t>
      </w:r>
    </w:p>
    <w:p>
      <w:pPr>
        <w:pStyle w:val="Compact"/>
        <w:numPr>
          <w:ilvl w:val="0"/>
          <w:numId w:val="1005"/>
        </w:numPr>
      </w:pPr>
      <w:r>
        <w:rPr>
          <w:rFonts w:ascii="Times New Roman" w:hAnsi="Times New Roman" w:eastAsia="Times New Roman"/>
        </w:rPr>
        <w:t xml:space="preserve">Неполный состав участников: зарегистрированные правообладатели, супруги, залогодержатели, органы регистрации, арендаторы и иные лица должны быть привлечены с учетом характера спора.</w:t>
      </w:r>
    </w:p>
    <w:p>
      <w:pPr>
        <w:pStyle w:val="Compact"/>
        <w:numPr>
          <w:ilvl w:val="0"/>
          <w:numId w:val="1005"/>
        </w:numPr>
      </w:pPr>
      <w:r>
        <w:rPr>
          <w:rFonts w:ascii="Times New Roman" w:hAnsi="Times New Roman" w:eastAsia="Times New Roman"/>
        </w:rPr>
        <w:t xml:space="preserve">Несогласованность описательной и просительной частей: адрес, кадастровый номер, доля, сумма и регистрационное действие должны совпадать во всем документе.</w:t>
      </w:r>
    </w:p>
    <w:p>
      <w:pPr>
        <w:pStyle w:val="Compact"/>
        <w:numPr>
          <w:ilvl w:val="0"/>
          <w:numId w:val="1005"/>
        </w:numPr>
      </w:pPr>
      <w:r>
        <w:rPr>
          <w:rFonts w:ascii="Times New Roman" w:hAnsi="Times New Roman" w:eastAsia="Times New Roman"/>
        </w:rPr>
        <w:t xml:space="preserve">Недоказанный досудебный порядок или пропуск срока: необходимо приложить доказательства направления претензии и отдельно проверить общий или специальный срок обращения.</w:t>
      </w:r>
    </w:p>
    <w:p>
      <w:pPr>
        <w:pStyle w:val="Compact"/>
        <w:numPr>
          <w:ilvl w:val="0"/>
          <w:numId w:val="1005"/>
        </w:numPr>
      </w:pPr>
      <w:r>
        <w:rPr>
          <w:rFonts w:ascii="Times New Roman" w:hAnsi="Times New Roman" w:eastAsia="Times New Roman"/>
        </w:rPr>
        <w:t xml:space="preserve">Перед расчетом санкций необходимо проверить действующие на дату требования специальные ограничения, отсрочки и моратории в строительной сфере.</w:t>
      </w:r>
    </w:p>
    <w:bookmarkEnd w:id="31"/>
    <w:bookmarkStart w:id="32" w:name="подпись"/>
    <w:p>
      <w:pPr>
        <w:pStyle w:val="Heading2"/>
        <w:keepNext/>
      </w:pPr>
      <w:r>
        <w:rPr>
          <w:rFonts w:ascii="Times New Roman" w:hAnsi="Times New Roman" w:eastAsia="Times New Roman"/>
        </w:rPr>
        <w:t xml:space="preserve">Подпись</w:t>
      </w:r>
    </w:p>
    <w:p>
      <w:pPr>
        <w:pStyle w:val="FirstParagraph"/>
      </w:pPr>
      <w:r>
        <w:rPr>
          <w:rFonts w:ascii="Times New Roman" w:hAnsi="Times New Roman" w:eastAsia="Times New Roman"/>
        </w:rPr>
        <w:t xml:space="preserve">«</w:t>
      </w:r>
      <w:r>
        <w:rPr>
          <w:rFonts w:ascii="Times New Roman" w:hAnsi="Times New Roman" w:eastAsia="Times New Roman"/>
          <w:b/>
          <w:bCs/>
          <w:i/>
          <w:iCs/>
        </w:rPr>
        <w:t xml:space="preserve">»</w:t>
      </w:r>
      <w:r>
        <w:rPr>
          <w:rFonts w:ascii="Times New Roman" w:hAnsi="Times New Roman" w:eastAsia="Times New Roman"/>
          <w:b/>
          <w:bCs/>
          <w:i/>
          <w:iCs/>
        </w:rPr>
        <w:t xml:space="preserve"> </w:t>
      </w:r>
      <w:r>
        <w:rPr>
          <w:rFonts w:ascii="Times New Roman" w:hAnsi="Times New Roman" w:eastAsia="Times New Roman"/>
        </w:rPr>
        <w:t xml:space="preserve">_______ 20__ года</w:t>
      </w:r>
      <w:r>
        <w:rPr>
          <w:rFonts w:ascii="Times New Roman" w:hAnsi="Times New Roman" w:eastAsia="Times New Roman"/>
        </w:rPr>
        <w:t xml:space="preserve"> </w:t>
      </w:r>
      <w:r>
        <w:rPr>
          <w:rFonts w:ascii="Times New Roman" w:hAnsi="Times New Roman" w:eastAsia="Times New Roman"/>
        </w:rPr>
        <w:t xml:space="preserve">[ФИО / должность] __________________ /</w:t>
      </w:r>
      <w:r>
        <w:rPr>
          <w:rFonts w:ascii="Times New Roman" w:hAnsi="Times New Roman" w:eastAsia="Times New Roman"/>
        </w:rPr>
        <w:t xml:space="preserve"> </w:t>
      </w:r>
      <w:hyperlink w:anchor="подпись">
        <w:r>
          <w:rPr>
            <w:rStyle w:val="Hyperlink"/>
          </w:rPr>
          <w:t xml:space="preserve">подпись</w:t>
        </w:r>
      </w:hyperlink>
    </w:p>
    <w:p>
      <w:pPr>
        <w:spacing w:line="276" w:lineRule="auto" w:after="120"/>
      </w:pPr>
      <w:r>
        <w:rPr>
          <w:rFonts w:ascii="Times New Roman" w:hAnsi="Times New Roman" w:eastAsia="Times New Roman"/>
        </w:rPr>
        <w:pict>
          <v:rect style="width:0;height:1.5pt" o:hralign="center" o:hrstd="t" o:hr="t"/>
        </w:pict>
      </w:r>
    </w:p>
    <w:p>
      <w:pPr>
        <w:pStyle w:val="FirstParagraph"/>
      </w:pPr>
      <w:r>
        <w:rPr>
          <w:rFonts w:ascii="Times New Roman" w:hAnsi="Times New Roman" w:eastAsia="Times New Roman"/>
          <w:i/>
          <w:iCs/>
        </w:rPr>
        <w:t xml:space="preserve">Подготовлено для процессуальной библиотеки Юридическая фирма «Зотова и партнеры». Образец носит информационный характер и требует индивидуальной юридической адаптации.</w:t>
      </w:r>
    </w:p>
    <w:bookmarkEnd w:id="32"/>
    <w:bookmarkEnd w:id="33"/>
    <w:sectPr>
      <w:footerReference r:id="rId9" w:type="default"/>
      <w:pgSz w:h="16838" w:w="11906"/>
      <w:pgMar w:bottom="1134" w:left="1247" w:right="1020" w:top="11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color w:val="646464"/>
        <w:sz w:val="16"/>
      </w:rPr>
      <w:t>Юридическая фирма «Зотова и партнеры» | zotowa.ru</w:t>
    </w:r>
  </w:p>
  <w:p>
    <w:pPr>
      <w:jc w:val="right"/>
    </w:pPr>
    <w:r>
      <w:rPr>
        <w:rFonts w:ascii="Times New Roman" w:hAnsi="Times New Roman"/>
        <w:sz w:val="18"/>
      </w:rPr>
      <w:t xml:space="preserve">Страница </w:t>
      <w:fldChar w:fldCharType="begin"/>
      <w:instrText xml:space="preserve"> PAGE </w:instrText>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00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pPr>
      <w:spacing w:after="120" w:line="276" w:lineRule="auto"/>
    </w:pPr>
    <w:rPr>
      <w:rFonts w:ascii="Times New Roman" w:eastAsia="Times New Roman" w:hAnsi="Times New Roman"/>
      <w:sz w:val="22"/>
    </w:r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100" w:before="0"/>
      <w:jc w:val="center"/>
    </w:pPr>
    <w:rPr>
      <w:rFonts w:ascii="Times New Roman" w:asciiTheme="majorHAnsi" w:cstheme="majorBidi" w:eastAsia="Times New Roman" w:eastAsiaTheme="majorEastAsia" w:hAnsi="Times New Roman" w:hAnsiTheme="majorHAnsi"/>
      <w:b/>
      <w:bCs/>
      <w:color w:val="1F4E79"/>
      <w:sz w:val="36"/>
      <w:szCs w:val="36"/>
    </w:rPr>
  </w:style>
  <w:style w:styleId="Subtitle" w:type="paragraph">
    <w:name w:val="Subtitle"/>
    <w:basedOn w:val="Title"/>
    <w:next w:val="BodyText"/>
    <w:qFormat/>
    <w:pPr>
      <w:keepNext/>
      <w:keepLines/>
      <w:spacing w:after="100" w:before="0"/>
      <w:jc w:val="center"/>
    </w:pPr>
    <w:rPr>
      <w:rFonts w:ascii="Times New Roman" w:eastAsia="Times New Roman" w:hAnsi="Times New Roman"/>
      <w:b w:val="0"/>
      <w:color w:val="666666"/>
      <w:sz w:val="22"/>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20" w:before="120"/>
      <w:ind w:firstLine="0" w:left="454" w:right="227"/>
    </w:pPr>
    <w:rPr>
      <w:rFonts w:ascii="Times New Roman" w:eastAsia="Times New Roman" w:hAnsi="Times New Roman"/>
      <w:i w:val="0"/>
      <w:color w:val="444444"/>
      <w:sz w:val="20"/>
    </w:r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Юридическая фирма «Зотова и партнеры»</dc:creator>
  <cp:keywords/>
  <dcterms:created xsi:type="dcterms:W3CDTF">2026-07-18T09:18:44Z</dcterms:created>
  <dcterms:modified xsi:type="dcterms:W3CDTF">2026-07-18T09:18:44Z</dcterms:modified>
  <dc:description>Образец для процессуальной библиотеки zotowa.ru. Требует адаптации.</dc:description>
</cp:coreProperties>
</file>

<file path=docProps/custom.xml><?xml version="1.0" encoding="utf-8"?>
<Properties xmlns="http://schemas.openxmlformats.org/officeDocument/2006/custom-properties" xmlns:vt="http://schemas.openxmlformats.org/officeDocument/2006/docPropsVTypes"/>
</file>