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ВЫВОДА О ФОРМАЛЬНОМ ДОКУМЕНТООБОРОТЕ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Характеристики контрагента после спорной сделки не были доступны налогоплательщику при её заключении и не опровергают конкретные доказательства движения товара, выполнения работ и использования результата.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вывода о формальном документообороте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