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НЕДЕЙСТВИТЕЛЬНЫМ РЕШЕНИЯ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недействительным решения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