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В ЦЕНТРАЛЬНЫЙ АППАРАТ ФНС РОССИИ НА РЕШЕНИЕ РЕГИОНАЛЬНОГО УФНС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центральный аппарат ФНС России на решение регионального УФНС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