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ПИСЬМЕННАЯ ПОЗИЦИЯ НАЛОГОПЛАТЕЛЬЩИКА ДЛЯ КОМИССИИ ПО ЛЕГАЛИЗАЦИИ НАЛОГОВОЙ БАЗЫ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осуществляет деятельность в сфере [вид деятельности] с [год]. По уведомлению № [номер] от [дата] руководитель / представитель вызван в инспекцию для дачи пояснений по вопросам [налоговая нагрузка, убыток, расходы, контрагенты].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Показатели отчётности обусловлены объективными обстоятельствами: [рост себестоимости, инвестиционный период, сезонность, прекращение крупного договора, изменение курса, создание запасов, авансовые расчёты]. Они подтверждаются договорами, регистрами учёта, управленческими отчётами и первичными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заинтересован в добросовестном взаимодействии с инспекцией, однако не соглашается с предложением корректировать обязательства без установленного нарушения и просит оценивать представленные сведения в совокупности.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контроль осуществляется налоговыми органами в пределах полномочий, установленных Налоговым кодексом Российской Федерации. Налогоплательщик вправе получать информацию, представлять пояснения и документы, действовать через представителя и требовать соблюдения налоговой тайны, соразмерности и законности контрольных мероприятий.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Само по себе приглашение в инспекцию, снижение налоговой нагрузки или отражение убытка не образуют налогового правонарушения. Пояснения должны раскрывать экономические причины показателей, сопровождаться первичными документами и не содержать признаний, не подтверждённых фактическими данными.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Налоговые декларации и бухгалтерская отчётность за сопоставимые периоды.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Управленческая записка об экономических причинах показателей.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Договоры, сметы, бизнес-план и документы о существенных событиях.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налогоплательщика для комиссии по легализации налоговой базы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