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НА АКТ ВЫЕЗДНОЙ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выездной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