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ПО УБЫТОЧНОЙ ДЕКЛАРАЦИИ ПО НАЛОГУ НА ПРИБЫЛЬ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по убыточной декларации по налогу на прибыль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