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ЕРЕСМОТРЕ СУДЕБНОГО АКТА ПО НОВЫМ ОБСТОЯТЕЛЬСТВА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ересмотреть судебный акт по новым / вновь открывшимся обстоятельств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тменить судебный акт и возобновить рассмотрение дел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иобщить документы, подтверждающие обстоятельство и срок его обнару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смотре судебного акта по новым обстоятельствам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