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ПРИЧИНАХ УМЕНЬШЕНИЯ СУММЫ НАЛОГА К УПЛАТЕ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причинах уменьшения суммы налога к уплате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