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ИНДИВИДУАЛЬНОГО ПРЕДПРИНИМАТЕЛЯ ОБ ОСПАРИВАНИИ СТРАХОВЫХ ВЗНОСОВ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критериев специального режима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правильность расчёта доходов и лимитов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момент возможной утраты права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учёт расходов, НДС и ранее уплаченного налога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индивидуального предпринимателя об оспаривании страховых взносов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