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ЕРЕРАСЧЁТА СТОИМОСТИ ПАТ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ерерасчёта стоимости патен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