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ДОНАЧИСЛЕНИЯ НАЛОГОВ ПО ОБЩЕЙ СИСТЕМЕ ПОСЛЕ УСН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доначисления налогов по общей системе после УСН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