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 ПРИМЕНЕНИИ ГРАЖДАНСКО-ПРАВОВЫХ ДОГОВОРОВ С ИСПОЛНИТЕЛЯМИ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акту проверки инспекция переквалифицировала выплаты [сотрудникам / исполнителям / самозанятым] и доначислила НДФЛ и страховые взносы за [период] в сумме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Отношения сторон характеризовались самостоятельностью исполнителя: отсутствовали подчинение внутреннему распорядку и гарантированный рабочий процесс, оплата зависела от результата, использовались собственные ресурсы, допускалась работа с другими заказчиками.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Компенсационные и подотчётные выплаты подтверждены авансовыми отчётами, билетами, чеками, положениями и связью с деятельностью. Расчёт инспекции не учитывает возвраты, необлагаемые суммы и фактически удержанный налог.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каждому исполнителю приложена матрица признаков отношений: предмет результата, периодичность, рабочее место, оборудование, контроль, риск, порядок приёмки и наличие иных заказчиков.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Обязанности налогового агента по НДФЛ регулируются, в частности, статьями 226 и 230 НК РФ, а объект и база страховых взносов — главой 34 НК РФ. Переквалификация гражданско-правовых отношений требует исследования фактического содержания работы, подчинённости, режима, риска и способа оплаты.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Выплаты, имеющие компенсационный, подотчётный или иной неналоговый характер, оцениваются по документам и экономическому содержанию. Невозможность удержать НДФЛ оформляется в установленной форме и срок, а свободная пояснительная записка используется как сопровождающий документ.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 с исполнителями и задания / акты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Сведения о статусе самозанятых и чеки НПД.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Табель, локальные акты и матрица признаков отношений.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НДФЛ и страховых взносов.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применении гражданско-правовых договоров с исполнителями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