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РЕЗУЛЬТАТОВ ОЦЕНКИ ИМУЩЕСТВА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Отчёт содержит неверные аналоги, отсутствие корректировок, неполный осмотр или недостоверные исходные данные. Рецензия / альтернативная оценка показывает существенное отклонение.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Не принимать спорный отчёт об оценке в качестве достоверной основы начальной цены.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Назначить судебную/повторную оценочную экспертизу.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Установить начальную цену после устранения выявленных недостатков.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отчёт оценщика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документы об объекте оценки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рецензия или альтернативный отчёт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