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ПРОВЕДЕНИИ НЕЗАВИСИМОЙ ОЦЕНКИ ИМУЩЕСТВА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конкурсную массу включено имущество: [описание, кадастровый/инвентарный номер, балансовая и оценочная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Управляющим/залоговым кредитором предложены условия продажи: [площадка, форма торгов, начальная цена, шаг, задаток, сроки, публичное предложение].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считает условия соответствующими/не соответствующими цели максимального пополнения конкурсной массы по причинам [перечень].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110, 111, 130, 131, 138 и 139 Федерального закона № 127-ФЗ, статьями 41, 65, 71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наилучшую цену в разумный срок. Начальная цена основывается на достоверной оценке; при залоговом имуществе учитываются статья 138 Федерального закона № 127-ФЗ и права залогового кредитора. Существенные нарушения допуска, публикации и определения победителя могут повлечь недействительность торгов.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достижение наилучшей цены при разумных сроках. Порядок реализации залогового имущества дополнительно учитывает права залогового кредитора и обязательные правила распределения выручки.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Назначить/обязать провести независимую оценку имущества.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Определить требования к оценщику и перечень исходных данных.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До завершения оценки приостановить утверждение положения о продаже.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отчёт оценщика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документы об объекте оценки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рецензия или альтернативный отчёт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правоустанавливающие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инвентаризационная опись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выписки из государственных реестров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