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ПОЛОЖЕНИЕ О ПОРЯДКЕ, СРОКАХ И УСЛОВИЯХ ПРОДАЖИ ИМУЩЕСТВА ДОЛЖНИКА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производстве Арбитражного суда города Москвы находится дело № А40-[номер]/20__ о банкротстве [наименование должника]. Настоящий документ подаётся в связи со следующими обстоятельствами.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конкурсную массу включено имущество: [описание, кадастровый/инвентарный номер, балансовая и оценочная стоимость].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Управляющим/залоговым кредитором предложены условия продажи: [площадка, форма торгов, начальная цена, шаг, задаток, сроки, публичное предложение].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Заявитель считает условия соответствующими/не соответствующими цели максимального пополнения конкурсной массы по причинам [перечень].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Документ подготовлен с учётом статьями 110, 111, 130, 131, 138 и 139 Федерального закона № 127-ФЗ, статьями 41, 65, 71 и 223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Продажа имущества должна обеспечивать открытость, конкуренцию и наилучшую цену в разумный срок. Начальная цена основывается на достоверной оценке; при залоговом имуществе учитываются статья 138 Федерального закона № 127-ФЗ и права залогового кредитора. Существенные нарушения допуска, публикации и определения победителя могут повлечь недействительность торгов.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Продажа имущества должна обеспечивать открытость, конкуренцию и достижение наилучшей цены при разумных сроках. Порядок реализации залогового имущества дополнительно учитывает права залогового кредитора и обязательные правила распределения выручки.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keepNext/>
        <w:spacing w:before="160" w:after="8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1. Общие положения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Настоящее положение определяет порядок, сроки и условия продажи имущества [наименование должника] в конкурсном производстве. Целью продажи является получение максимально возможной цены при открытости, равном доступе участников и разумных расходах на организацию торгов.</w:t>
      </w:r>
    </w:p>
    <w:p>
      <w:pPr>
        <w:keepNext/>
        <w:spacing w:before="160" w:after="8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2. Состав лотов и начальная цена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606"/>
        <w:gridCol w:w="1606"/>
        <w:gridCol w:w="1606"/>
        <w:gridCol w:w="1606"/>
        <w:gridCol w:w="1606"/>
        <w:gridCol w:w="1606"/>
      </w:tblGrid>
      <w:tr>
        <w:trPr>
          <w:tblHeader w:val="true"/>
        </w:trPr>
        <w:tc>
          <w:tcPr>
            <w:tcW w:type="dxa" w:w="454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/>
                <w:b/>
                <w:sz w:val="16"/>
              </w:rPr>
              <w:t>Лот</w:t>
            </w:r>
          </w:p>
        </w:tc>
        <w:tc>
          <w:tcPr>
            <w:tcW w:type="dxa" w:w="3118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/>
                <w:b/>
                <w:sz w:val="16"/>
              </w:rPr>
              <w:t>Описание имущества</w:t>
            </w:r>
          </w:p>
        </w:tc>
        <w:tc>
          <w:tcPr>
            <w:tcW w:type="dxa" w:w="1587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/>
                <w:b/>
                <w:sz w:val="16"/>
              </w:rPr>
              <w:t>Обременения</w:t>
            </w:r>
          </w:p>
        </w:tc>
        <w:tc>
          <w:tcPr>
            <w:tcW w:type="dxa" w:w="1587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/>
                <w:b/>
                <w:sz w:val="16"/>
              </w:rPr>
              <w:t>Начальная цена</w:t>
            </w:r>
          </w:p>
        </w:tc>
        <w:tc>
          <w:tcPr>
            <w:tcW w:type="dxa" w:w="1417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/>
                <w:b/>
                <w:sz w:val="16"/>
              </w:rPr>
              <w:t>Шаг аукциона</w:t>
            </w:r>
          </w:p>
        </w:tc>
        <w:tc>
          <w:tcPr>
            <w:tcW w:type="dxa" w:w="1417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/>
                <w:b/>
                <w:sz w:val="16"/>
              </w:rPr>
              <w:t>Задаток</w:t>
            </w:r>
          </w:p>
        </w:tc>
      </w:tr>
      <w:tr>
        <w:tc>
          <w:tcPr>
            <w:tcW w:type="dxa" w:w="454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type="dxa" w:w="3118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6"/>
              </w:rPr>
              <w:t>[подробное описание, идентификаторы]</w:t>
            </w:r>
          </w:p>
        </w:tc>
        <w:tc>
          <w:tcPr>
            <w:tcW w:type="dxa" w:w="1587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6"/>
              </w:rPr>
              <w:t>[указать]</w:t>
            </w:r>
          </w:p>
        </w:tc>
        <w:tc>
          <w:tcPr>
            <w:tcW w:type="dxa" w:w="1587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6"/>
              </w:rPr>
              <w:t>[сумма]</w:t>
            </w:r>
          </w:p>
        </w:tc>
        <w:tc>
          <w:tcPr>
            <w:tcW w:type="dxa" w:w="1417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6"/>
              </w:rPr>
              <w:t>[5–10 %]</w:t>
            </w:r>
          </w:p>
        </w:tc>
        <w:tc>
          <w:tcPr>
            <w:tcW w:type="dxa" w:w="1417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6"/>
              </w:rPr>
              <w:t>[10–20 %]</w:t>
            </w:r>
          </w:p>
        </w:tc>
      </w:tr>
      <w:tr>
        <w:tc>
          <w:tcPr>
            <w:tcW w:type="dxa" w:w="454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type="dxa" w:w="3118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6"/>
              </w:rPr>
              <w:t>[описание]</w:t>
            </w:r>
          </w:p>
        </w:tc>
        <w:tc>
          <w:tcPr>
            <w:tcW w:type="dxa" w:w="1587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6"/>
              </w:rPr>
              <w:t>[указать]</w:t>
            </w:r>
          </w:p>
        </w:tc>
        <w:tc>
          <w:tcPr>
            <w:tcW w:type="dxa" w:w="1587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6"/>
              </w:rPr>
              <w:t>[сумма]</w:t>
            </w:r>
          </w:p>
        </w:tc>
        <w:tc>
          <w:tcPr>
            <w:tcW w:type="dxa" w:w="1417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6"/>
              </w:rPr>
              <w:t>[размер]</w:t>
            </w:r>
          </w:p>
        </w:tc>
        <w:tc>
          <w:tcPr>
            <w:tcW w:type="dxa" w:w="1417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6"/>
              </w:rPr>
              <w:t>[размер]</w:t>
            </w:r>
          </w:p>
        </w:tc>
      </w:tr>
    </w:tbl>
    <w:p/>
    <w:p>
      <w:pPr>
        <w:keepNext/>
        <w:spacing w:before="160" w:after="8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3. Способ и этапы продажи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первые торги проводятся в форме открытого аукциона с открытой формой представления предложений о цене;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при признании первых торгов несостоявшимися проводятся повторные торги с уменьшением начальной цены в установленном размере;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при отсутствии результата имущество продаётся посредством публичного предложения по периодам снижения цены, указанным в приложении;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сообщения публикуются в ЕФРСБ и иных предусмотренных источниках не позднее установленного срока;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5. договор заключается с победителем после полной оплаты в срок [срок].</w:t>
      </w:r>
    </w:p>
    <w:p>
      <w:pPr>
        <w:keepNext/>
        <w:spacing w:before="160" w:after="8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4. Допуск участников и проведение торгов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Заявка должна содержать сведения об участнике, согласие с условиями торгов, документы о полномочиях и подтверждение внесения задатка. Отказ в допуске допускается только по основаниям, прямо предусмотренным законом и сообщением о торгах. Итоги фиксируются протоколом электронной площадки.</w:t>
      </w:r>
    </w:p>
    <w:p>
      <w:pPr>
        <w:keepNext/>
        <w:spacing w:before="160" w:after="8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5. Распределение выручки и расходы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Расходы на оценку, публикации, электронную площадку и сохранность имущества оплачиваются в порядке, установленном законом. Выручка распределяется конкурсным управляющим с соблюдением очередности; по залоговому имуществу — по специальным правилам статьи 138 Федерального закона № 127-ФЗ.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Изложенные обстоятельства подтверждаются приложенными документами и в совокупности свидетельствуют о наличии оснований для удовлетворения заявленного требования способом, непосредственно восстанавливающим нарушенное право.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Утвердить положение о порядке, сроках и условиях продажи имущества в представленной редакции.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Разрешить конкурсному управляющему организовать торги после вступления судебного акта в законную силу.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правоустанавливающие документы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инвентаризационная опись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выписки из государственных реестров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5. доверенность или иной документ, подтверждающий полномочия представителя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6. отчёт об оценке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7. инвентаризационная опись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8. проект сообщения о торгах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9. график периодов публичного предложения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[уполномоченное лицо]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