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ВКЛЮЧЕНИИ ИМУЩЕСТВА И ИМУЩЕСТВЕННЫХ ПРАВ В КОНКУРСНУЮ МАССУ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должника подтверждается [договор / регистрация / судебный акт / фактическое финансирование]. Формальное оформление на другое лицо не соответствует экономическому содержанию.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Включить имущество/право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лицо, удерживающее актив, передать его конкурсному управляющему.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Внести изменения в инвентаризацию и отчёт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