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ИСКЛЮЧЕНИИ ИМУЩЕСТВА ТРЕТЬЕГО ЛИЦА ИЗ КОНКУРСНОЙ МАССЫ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Имущество принадлежит заявителю по [договор / регистрация], передано должнику во временное владение и не стало его собственностью. Индивидуальные признаки и оплата подтверждены.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Исключить имущество [описание] из конкурсной массы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право собственности/иное право заявителя на имущество.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конкурсного управляющего передать имущество законному владельцу.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