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ОБ ИСТРЕБОВАНИИ СВЕДЕНИЙ ОБ ИМУЩЕСТВЕ ДОЛЖНИКА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Решением суда от [дата] должник признан банкротом, открыто конкурсное производство, конкурсным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формирования конкурсной массы требуется [передача документов и ценностей/истребование сведений/включение или исключение имущества/продление или завершение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Инвентаризация, реестры и отчёт управляющего подтверждают [состав имущества, объём мероприятий, готовность к расчётам или необходимость дополнительного срока].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124-149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открытия конкурсного производства управляющий формирует конкурсную массу, проводит инвентаризацию, взыскание дебиторской задолженности, торги и расчёты. Вопросы передачи документов, принадлежности имущества, продления и завершения процедуры разрешаются исходя из конкретных незавершённых мероприятий и ожидаемого результата.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Конкурсное производство направлено на формирование и реализацию конкурсной массы, расчёты с кредиторами и ликвидацию должника. Руководитель обязан передать управляющему документы, печати, материальные ценности и электронные данные.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Истребовать у перечисленных органов и лиц сведения об имуществе, счетах и правах должника.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Направить ответы непосредственно в суд и конкурсному управляющему.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Установить срок предоставления информации.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