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ВОЗРАЖЕНИЯ ПРОТИВ ПРИЗНАНИЯ ДОЛЖНИКА БАНКРОТОМ И ОТКРЫТИЯ КОНКУРСНОГО ПРОИЗВОДСТВА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Решением суда от [дата] должник признан банкротом, открыто конкурсное производство, конкурсным управляющим утверждён [Ф.И.О.].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формирования конкурсной массы требуется [передача документов и ценностей/истребование сведений/включение или исключение имущества/продление или завершение процедуры].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Инвентаризация, реестры и отчёт управляющего подтверждают [состав имущества, объём мероприятий, готовность к расчётам или необходимость дополнительного срока].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124-149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После открытия конкурсного производства управляющий формирует конкурсную массу, проводит инвентаризацию, взыскание дебиторской задолженности, торги и расчёты. Вопросы передачи документов, принадлежности имущества, продления и завершения процедуры разрешаются исходя из конкретных незавершённых мероприятий и ожидаемого результата.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Конкурсное производство направлено на формирование и реализацию конкурсной массы, расчёты с кредиторами и ликвидацию должника. Руководитель обязан передать управляющему документы, печати, материальные ценности и электронные данные.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должника банкротом.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Открыть конкурсное производство.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конкурсного управляющего и определить срок представления отчёта.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