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ПЕРЕХОДЕ ОТ ВНЕШНЕГО УПРАВЛЕНИЯ К КОНКУРСНОМУ ПРОИЗВОДСТВУ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Платёжеспособность должника может быть восстановлена посредством [меры: перепрофилирование, продажа части имущества, замещение активов, взыскание дебиторской задолженности, инвестиции].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мероприятия рассчитаны на [срок] и должны обеспечить накопление средств в размере [сумма] руб. для расчётов с кредиторами.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Фактические результаты на дату обращения: [выручка, заключённые договоры, реализованные меры, причины отклонений от плана].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Возможность восстановления подтверждается действующим бизнесом, дебиторской задолженностью, контрактами и конкретными мерами. Отклонения от плана должны сопоставляться с фактическим финансовым результатом.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93-123 Федерального закона № 127-ФЗ, статьями 41, 65, 66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вводится при реальной возможности восстановить платёжеспособность. План должен содержать конкретные мероприятия, бюджет, сроки, ответственных лиц, ожидаемый эффект и контрольные показатели, а его изменение или продление — опираться на фактические результаты.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Внешнее управление применяется при наличии реальной возможности восстановить платёжеспособность. План должен содержать конкретные меры, сроки, расчёты, контрольные показатели и прогноз удовлетворения требований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Досрочно прекратить внешнее управление.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Признать должника банкротом и открыть конкурсное производство.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Утвердить конкурсного управляющего.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