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 ДОСРОЧНОМ ПРЕКРАЩЕНИИ ВНЕШНЕГО УПРАВЛЕНИЯ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Платёжеспособность должника может быть восстановлена посредством [меры: перепрофилирование, продажа части имущества, замещение активов, взыскание дебиторской задолженности, инвестиции].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Предлагаемые мероприятия рассчитаны на [срок] и должны обеспечить накопление средств в размере [сумма] руб. для расчётов с кредиторами.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Фактические результаты на дату обращения: [выручка, заключённые договоры, реализованные меры, причины отклонений от плана].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Возможность восстановления подтверждается действующим бизнесом, дебиторской задолженностью, контрактами и конкретными мерами. Отклонения от плана должны сопоставляться с фактическим финансовым результатом.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93-123 Федерального закона № 127-ФЗ, статьями 41, 65, 66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Внешнее управление вводится при реальной возможности восстановить платёжеспособность. План должен содержать конкретные мероприятия, бюджет, сроки, ответственных лиц, ожидаемый эффект и контрольные показатели, а его изменение или продление — опираться на фактические результаты.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Внешнее управление применяется при наличии реальной возможности восстановить платёжеспособность. План должен содержать конкретные меры, сроки, расчёты, контрольные показатели и прогноз удовлетворения требований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Досрочно прекратить внешнее управление.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Признать должника банкротом и открыть конкурсное производство.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Утвердить конкурсного управляющего.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