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УТВЕРЖДЕНИИ ПЛАНА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план внешнего управления в редакции от [дата].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внешнего управляющего приступить к реализации мероприятий.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Установить срок представления промежуточного отчёта.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