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ПЕРЕХОДЕ ОТ ФИНАНСОВОГО ОЗДОРОВЛЕНИЯ К ВНЕШНЕМУ УПРАВЛЕНИЮ ИЛИ КОНКУРСНОМУ ПРОИЗВОДСТВУ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План должен опираться на подтверждённую выручку, договоры, источники финансирования и ликвидное обеспечение. В документе приводятся исходные показатели, помесячный денежный поток и контроль исполнения графика.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Прекратить финансовое оздоровление.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Ввести внешнее управление / признать должника банкротом и открыть конкурсное производство.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соответствующего арбитражного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