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ЗАЯВЛЕНИЕ ОБ ИЗМЕНЕНИИ ГРАФИКА ПОГАШЕНИЯ ЗАДОЛЖЕННОСТИ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находится дело № А40-[номер]/20__ о банкротстве [наименование должника]. Настоящий документ подаётся в связи со следующими обстоятельствами.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Должник сохраняет действующий бизнес и обладает источниками восстановления платёжеспособности: [выручка, финансирование, реализация непрофильных активов, взыскание дебиторской задолженности].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Предлагаемый срок финансового оздоровления — [срок]. Общий объём погашения по графику — [сумма] руб.; обеспечение предоставляется [лицо, способ, стоимость].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Расчёты основаны на прогнозе денежных потоков, договорах с контрагентами и подтверждённых источниках финансирования.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76-92 Федерального закона № 127-ФЗ, статьями 41, 65 и 159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исполнимого плана, графика погашения задолженности и достаточного обеспечения. Суд оценивает реальность денежных потоков, источники финансирования, соблюдение очередности и влияние предложенного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Финансовое оздоровление допускается при наличии реалистичного плана, исполнимого графика и предусмотренного законом обеспечения. Суд и кредиторы оценивают достаточность денежных потоков, источники финансирования и влияние графика на права кредиторов.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Изложенные обстоятельства подтверждаются приложенными документами и в совокупности свидетельствуют о наличии оснований для удовлетворения заявленного требования способом, непосредственно восстанавливающим нарушенное право.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Утвердить изменения в график погашения задолженности в предложенной редакции.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Сохранить/изменить обеспечение исполнения графика.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Обязать административного управляющего уведомить кредиторов.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документы, подтверждающие изложенные обстоятельства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расчёт заявленной суммы или спорных показателей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