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УЧРЕДИТЕЛЕЙ ДОЛЖНИКА О ВВЕДЕНИИ ФИНАНСОВОГО ОЗДОРОВЛЕНИЯ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финансовое оздоровление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план финансового оздоровления и график погашения задолженности.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административного управляющего и принять представленное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