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ПОНУЖДЕНИИ АРБИТРАЖНОГО УПРАВЛЯЮЩЕГО ПРОВЕСТИ СОБРАНИЕ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сформирован реестр требований кредиторов. Очередное/внеочередное собрание назначено либо должно быть созвано для решения вопросов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или проведении собрания допущены обстоятельства: [неуведомление, неверный подсчёт голосов, отказ включить вопрос, выход за пределы компетенции].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повлияло/могло повлиять на результаты голосования и затронуло права заявителя как кредитора с [процент] % голосов.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12-18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определяют компетенцию собрания и комитета кредиторов, порядок созыва, уведомления, кворум и подсчёт голосов. Решение может быть признано недействительным при существенном нарушении процедуры, компетенции или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кредиторов и комитет кредиторов действуют строго в пределах компетенции. Размер голосов определяется пропорционально сумме основного долга, включённой в реестр, с учётом правил о требованиях без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арбитражного управляющего созвать и провести собрание кредиторов в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в повестку вопросы, указанные заявителем.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опубликовать сообщение и направить уведомления участникам.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уведомление о собрании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бюллетени и протокол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реестр участников и расчёт голосов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