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ВВЕДЕНИИ ФИНАНСОВОГО ОЗДОРОВЛЕНИЯ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 суда от [дата] в отношении [должника] введено наблюдение, временным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анализа финансового состояния и сохранения имущества необходимо [передать документы/истребовать сведения/ограничить сделки/разрешить вопрос о руководителе].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Неисполнение соответствующей обязанности препятствует выявлению активов, проверке сделок, формированию реестра и подготовке первого собрания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План должен опираться на подтверждённую выручку, договоры, источники финансирования и ликвидное обеспечение. В документе приводятся исходные показатели, помесячный денежный поток и контроль исполнения графика.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62-75 Федерального закона № 127-ФЗ, статьями 41, 65, 66, 90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Наблюдение направлено на сохранение имущества, анализ финансового состояния и подготовку первого собрания кредиторов. Руководитель сохраняет полномочия с ограничениями статей 63–64 Федерального закона № 127-ФЗ и обязан передавать временному управляющему конкретно запрошенные документы и сведения.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Наблюдение направлено на сохранение имущества, анализ финансового состояния и подготовку первого собрания кредиторов. Руководитель должника сохраняет полномочия с установленными законом ограничениями и обязан содействовать временному управляющему.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Ввести финансовое оздоровление на срок [срок].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Утвердить график погашения задолженности и представленное обеспечение.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административного управляющего в установленном порядке.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