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ИСКЛЮЧЕНИИ ТРЕБОВАНИЯ ИЗ РЕЕСТРА В СВЯЗИ С ОТМЕНОЙ СУДЕБНОГО АКТА ИЛИ ПОГАШЕНИЕМ ДОЛГА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Основание включения отпало вследствие отмены судебного акта / полного погашения / прекращения обязательства. Исключение необходимо для достоверного числа голосов и расчётов.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Исключить требование [кредитора] из реестра в размере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Внести изменения в размер голосов и расчёты с кредиторами.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управляющего представить обновлённый реестр.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