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ВОЗРАЖЕНИЯ ПРОТИВ ВКЛЮЧЕНИЯ ПРОЦЕНТОВ, НЕУСТОЙКИ И ФИНАНСОВЫХ САНКЦИЙ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Кредитор заявил требование в размере [сумма] руб. со ссылкой на [основание]. Заявитель возражений оспаривает существование, размер, очередность или обеспеченность требования.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Представленные документы не подтверждают фактическую передачу денег/товара/работ, полномочия подписантов, непрерывность цепочки уступок либо соответствие расчёта условиям обязательства.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Имеются обстоятельства, указывающие на [истечение срока давности, аффилированность, корпоративную природу финансирования, мнимость, погашение, отсутствие залога].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Расчёт включает периоды и суммы, не предусмотренные договором или законом, не учитывает платежи и разделение реестровых и текущих начислений. Неустойка подлежит отдельной проверке на соразмерность.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4, 16, 71, 100 и 138 Федерального закона № 127-ФЗ, статьями 10, 168, 170, 181 и 199 ГК РФ, статьями 65, 71, 75 и 161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Суд проверяет не только формальный договор, но и реальность хозяйственной операции: движение денег и имущества, экономическую цель, источник финансирования, полномочия подписантов и отражение операции в учёте. В отношении аффилированных и контролирующих лиц действует повышенный стандарт доказывания с учётом постановления Пленума Верховного Суда РФ от 23.12.2025 № 41.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Возражения могут касаться реальности обязательства, состава и размера долга, исковой давности, аффилированности, компенсационного финансирования, залогового статуса и очередности. Формальное признание долга должником не освобождает суд от проверки требования по существу.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требований контролирующих и аффилированных лиц учитываются разъяснения постановления Пленума Верховного Суда РФ от 23.12.2025 № 41.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Отказать во включении требования в реестр полностью / в спорной части.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 наличии оснований понизить очередность требования либо отказать в признании залогового статуса.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Истребовать оригиналы первичных документов, банковские выписки и сведения о взаимозависимости сторон.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отчёт оценщика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документы об объекте оценки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рецензия или альтернативный отчёт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подробный расчёт по каждой составляющей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банковские выписки и первичные документы по спорной операции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