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О ПОНИЖЕНИИ ОЧЕРЕДНОСТИ КОРПОРАТИВНОГО ТРЕБОВАНИЯ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Несмотря на форму займа или поставки, предоставление экономически заменяло капитализацию подконтрольного бизнеса в период кризиса и переносило корпоративный риск на независимых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Очередность требования определяется по его экономической природе, а не только по названию договора; корпоративный риск не должен перекладываться на независимых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Очередность требования определяется по его экономической природе, а не только по названию договора; корпоративный риск не должен перекладываться на независимых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