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ВКЛЮЧЕНИЯ ТРЕБОВАНИЯ АФФИЛИРОВАННОГО КРЕДИТОРА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Кредитор заявил требование в размере [сумма] руб. со ссылкой на [основание]. Заявитель возражений оспаривает существование, размер, очередность или обеспеченность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Представленные документы не подтверждают фактическую передачу денег/товара/работ, полномочия подписантов, непрерывность цепочки уступок либо соответствие расчёта условиям обязательства.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Имеются обстоятельства, указывающие на [истечение срока давности, аффилированность, корпоративную природу финансирования, мнимость, погашение, отсутствие залога].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Связь сторон выражается в [общий контроль / участники / руководители]. Кредитор обязан раскрыть источник денег, экономическую цель и использование финансирования, особенно если оно предоставлено в период имущественного кризиса.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 и 138 Федерального закона № 127-ФЗ, статьями 10, 168, 170, 181 и 199 ГК РФ, статьями 65, 71, 75 и 161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проверяет не только формальный договор, но и реальность хозяйственной операции: движение денег и имущества, экономическую цель, источник финансирования, полномочия подписантов и отражение операции в учёте. В отношении аффилированных и контролирующих лиц действует повышенный стандарт доказывания с учётом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Возражения могут касаться реальности обязательства, состава и размера долга, исковой давности, аффилированности, компенсационного финансирования, залогового статуса и очередности. Формальное признание долга должником не освобождает суд от проверки требования по существу.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требований контролирующих и аффилированных лиц учитываются разъяснения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во включении требования в реестр полностью / в спорной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наличии оснований понизить очередность требования либо отказать в признании залогового статуса.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оригиналы первичных документов, банковские выписки и сведения о взаимозависимости сторон.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выписки из ЕГРЮЛ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корпоративные документы и переписка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сведения о движении денежных средств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