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АРБИТРАЖНОГО УПРАВЛЯЮЩЕГО НА ТРЕБОВАНИЕ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